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6E4B1C" w14:textId="637DFF7C" w:rsidR="00387C6F" w:rsidRPr="00D63CBC" w:rsidRDefault="2E530460" w:rsidP="2E530460">
      <w:pPr>
        <w:widowControl/>
        <w:rPr>
          <w:rFonts w:ascii="Garamond" w:hAnsi="Garamond"/>
          <w:sz w:val="20"/>
        </w:rPr>
      </w:pPr>
      <w:r w:rsidRPr="00D63CBC">
        <w:rPr>
          <w:rFonts w:ascii="Garamond" w:hAnsi="Garamond"/>
          <w:sz w:val="20"/>
        </w:rPr>
        <w:t xml:space="preserve">Please </w:t>
      </w:r>
      <w:r w:rsidR="00CC5F3A" w:rsidRPr="00D63CBC">
        <w:rPr>
          <w:rFonts w:ascii="Garamond" w:hAnsi="Garamond"/>
          <w:sz w:val="20"/>
        </w:rPr>
        <w:t xml:space="preserve">indicate your ability and willingness to meet each minimum Service Level Agreement.  If you would like to offer an enhancement to the Service Level Agreement, please describe offered enhancement.  Respondents may also offer additional Service Level Agreements not included in the list of minimums for the State’s consideration.  </w:t>
      </w:r>
      <w:r w:rsidR="009A45C8" w:rsidRPr="00D63CBC">
        <w:rPr>
          <w:rFonts w:ascii="Garamond" w:hAnsi="Garamond"/>
          <w:sz w:val="20"/>
        </w:rPr>
        <w:t xml:space="preserve">This list may be modified to include </w:t>
      </w:r>
      <w:r w:rsidR="00E6672C" w:rsidRPr="00D63CBC">
        <w:rPr>
          <w:rFonts w:ascii="Garamond" w:hAnsi="Garamond"/>
          <w:sz w:val="20"/>
        </w:rPr>
        <w:t xml:space="preserve">commitments agreed to during the course of the RFP process and will be updated during contract finalization.  </w:t>
      </w:r>
      <w:r w:rsidR="00CC5F3A" w:rsidRPr="00D63CBC">
        <w:rPr>
          <w:rFonts w:ascii="Garamond" w:hAnsi="Garamond"/>
          <w:sz w:val="20"/>
        </w:rPr>
        <w:t xml:space="preserve">The Contractor will be required to track and report performance related to each Service Level Agreement.  </w:t>
      </w:r>
      <w:r w:rsidRPr="00D63CBC">
        <w:rPr>
          <w:rFonts w:ascii="Garamond" w:hAnsi="Garamond"/>
          <w:sz w:val="20"/>
        </w:rPr>
        <w:t>If a</w:t>
      </w:r>
      <w:r w:rsidR="00CC5F3A" w:rsidRPr="00D63CBC">
        <w:rPr>
          <w:rFonts w:ascii="Garamond" w:hAnsi="Garamond"/>
          <w:sz w:val="20"/>
        </w:rPr>
        <w:t xml:space="preserve"> space is </w:t>
      </w:r>
      <w:r w:rsidRPr="00D63CBC">
        <w:rPr>
          <w:rFonts w:ascii="Garamond" w:hAnsi="Garamond"/>
          <w:sz w:val="20"/>
        </w:rPr>
        <w:t xml:space="preserve">left blank, you will be implying that your company cannot meet the </w:t>
      </w:r>
      <w:r w:rsidR="00CC5F3A" w:rsidRPr="00D63CBC">
        <w:rPr>
          <w:rFonts w:ascii="Garamond" w:hAnsi="Garamond"/>
          <w:sz w:val="20"/>
        </w:rPr>
        <w:t>minimum Service Level Agreement</w:t>
      </w:r>
      <w:r w:rsidRPr="00D63CBC">
        <w:rPr>
          <w:rFonts w:ascii="Garamond" w:hAnsi="Garamond"/>
          <w:sz w:val="20"/>
        </w:rPr>
        <w:t xml:space="preserve">(s), and your proposal </w:t>
      </w:r>
      <w:r w:rsidR="00CC5F3A" w:rsidRPr="00D63CBC">
        <w:rPr>
          <w:rFonts w:ascii="Garamond" w:hAnsi="Garamond"/>
          <w:sz w:val="20"/>
        </w:rPr>
        <w:t>will be evaluated accordingly.</w:t>
      </w:r>
    </w:p>
    <w:p w14:paraId="0A37501D" w14:textId="77777777" w:rsidR="00501F54" w:rsidRPr="00D63CBC" w:rsidRDefault="00501F54" w:rsidP="00387C6F">
      <w:pPr>
        <w:widowControl/>
        <w:rPr>
          <w:rFonts w:ascii="Garamond" w:hAnsi="Garamond"/>
          <w:sz w:val="20"/>
        </w:rPr>
      </w:pPr>
    </w:p>
    <w:tbl>
      <w:tblPr>
        <w:tblW w:w="14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
        <w:gridCol w:w="1980"/>
        <w:gridCol w:w="5040"/>
        <w:gridCol w:w="1170"/>
        <w:gridCol w:w="810"/>
        <w:gridCol w:w="4752"/>
      </w:tblGrid>
      <w:tr w:rsidR="005E744A" w:rsidRPr="00D63CBC" w14:paraId="31A9AA4B" w14:textId="77777777" w:rsidTr="00E2F270">
        <w:trPr>
          <w:trHeight w:val="535"/>
        </w:trPr>
        <w:tc>
          <w:tcPr>
            <w:tcW w:w="445" w:type="dxa"/>
            <w:shd w:val="clear" w:color="auto" w:fill="C0C0C0"/>
          </w:tcPr>
          <w:p w14:paraId="2B52EE91" w14:textId="77777777" w:rsidR="005E744A" w:rsidRPr="00D63CBC" w:rsidRDefault="005E744A" w:rsidP="00CC5F3A">
            <w:pPr>
              <w:widowControl/>
              <w:jc w:val="center"/>
              <w:rPr>
                <w:rFonts w:ascii="Garamond" w:hAnsi="Garamond"/>
                <w:b/>
                <w:sz w:val="20"/>
              </w:rPr>
            </w:pPr>
          </w:p>
        </w:tc>
        <w:tc>
          <w:tcPr>
            <w:tcW w:w="1980" w:type="dxa"/>
            <w:shd w:val="clear" w:color="auto" w:fill="C0C0C0"/>
            <w:vAlign w:val="bottom"/>
          </w:tcPr>
          <w:p w14:paraId="769726BA" w14:textId="6FDA78A3" w:rsidR="005E744A" w:rsidRPr="00D63CBC" w:rsidRDefault="005E744A" w:rsidP="00CC5F3A">
            <w:pPr>
              <w:widowControl/>
              <w:jc w:val="center"/>
              <w:rPr>
                <w:rFonts w:ascii="Garamond" w:hAnsi="Garamond"/>
                <w:b/>
                <w:sz w:val="20"/>
              </w:rPr>
            </w:pPr>
            <w:r w:rsidRPr="00D63CBC">
              <w:rPr>
                <w:rFonts w:ascii="Garamond" w:hAnsi="Garamond"/>
                <w:b/>
                <w:sz w:val="20"/>
              </w:rPr>
              <w:t>SLA</w:t>
            </w:r>
          </w:p>
        </w:tc>
        <w:tc>
          <w:tcPr>
            <w:tcW w:w="5040" w:type="dxa"/>
            <w:shd w:val="clear" w:color="auto" w:fill="C0C0C0"/>
            <w:vAlign w:val="bottom"/>
          </w:tcPr>
          <w:p w14:paraId="085EDA63" w14:textId="79BECD95" w:rsidR="005E744A" w:rsidRPr="00D63CBC" w:rsidRDefault="005E744A" w:rsidP="00CC5F3A">
            <w:pPr>
              <w:widowControl/>
              <w:jc w:val="center"/>
              <w:rPr>
                <w:rFonts w:ascii="Garamond" w:hAnsi="Garamond"/>
                <w:b/>
                <w:sz w:val="20"/>
              </w:rPr>
            </w:pPr>
            <w:r w:rsidRPr="00D63CBC">
              <w:rPr>
                <w:rFonts w:ascii="Garamond" w:hAnsi="Garamond"/>
                <w:b/>
                <w:sz w:val="20"/>
              </w:rPr>
              <w:t>Service Level Agreement Description</w:t>
            </w:r>
          </w:p>
        </w:tc>
        <w:tc>
          <w:tcPr>
            <w:tcW w:w="1170" w:type="dxa"/>
            <w:shd w:val="clear" w:color="auto" w:fill="C0C0C0"/>
            <w:vAlign w:val="bottom"/>
          </w:tcPr>
          <w:p w14:paraId="4FE216B1" w14:textId="0D5BACB6" w:rsidR="005E744A" w:rsidRPr="00D63CBC" w:rsidRDefault="005E744A" w:rsidP="005E744A">
            <w:pPr>
              <w:widowControl/>
              <w:jc w:val="center"/>
              <w:rPr>
                <w:rFonts w:ascii="Garamond" w:hAnsi="Garamond"/>
                <w:b/>
                <w:sz w:val="20"/>
              </w:rPr>
            </w:pPr>
            <w:r w:rsidRPr="00D63CBC">
              <w:rPr>
                <w:rFonts w:ascii="Garamond" w:hAnsi="Garamond"/>
                <w:b/>
                <w:sz w:val="20"/>
              </w:rPr>
              <w:t>Minimum SLA</w:t>
            </w:r>
          </w:p>
        </w:tc>
        <w:tc>
          <w:tcPr>
            <w:tcW w:w="810" w:type="dxa"/>
            <w:shd w:val="clear" w:color="auto" w:fill="C0C0C0"/>
            <w:vAlign w:val="bottom"/>
          </w:tcPr>
          <w:p w14:paraId="0EE5C09C" w14:textId="2A81C7FE" w:rsidR="005E744A" w:rsidRPr="00D63CBC" w:rsidRDefault="005E744A" w:rsidP="00CC5F3A">
            <w:pPr>
              <w:widowControl/>
              <w:jc w:val="center"/>
              <w:rPr>
                <w:rFonts w:ascii="Garamond" w:hAnsi="Garamond"/>
                <w:b/>
                <w:sz w:val="20"/>
              </w:rPr>
            </w:pPr>
            <w:r w:rsidRPr="00D63CBC">
              <w:rPr>
                <w:rFonts w:ascii="Garamond" w:hAnsi="Garamond"/>
                <w:b/>
                <w:sz w:val="20"/>
              </w:rPr>
              <w:t>Agree?(Y/N)</w:t>
            </w:r>
          </w:p>
        </w:tc>
        <w:tc>
          <w:tcPr>
            <w:tcW w:w="4752" w:type="dxa"/>
            <w:tcBorders>
              <w:bottom w:val="single" w:sz="4" w:space="0" w:color="auto"/>
            </w:tcBorders>
            <w:shd w:val="clear" w:color="auto" w:fill="C0C0C0"/>
            <w:vAlign w:val="bottom"/>
          </w:tcPr>
          <w:p w14:paraId="5330045D" w14:textId="5D012EE4" w:rsidR="005E744A" w:rsidRPr="00D63CBC" w:rsidRDefault="005E744A" w:rsidP="00CC5F3A">
            <w:pPr>
              <w:widowControl/>
              <w:jc w:val="center"/>
              <w:rPr>
                <w:rFonts w:ascii="Garamond" w:hAnsi="Garamond"/>
                <w:b/>
                <w:sz w:val="20"/>
              </w:rPr>
            </w:pPr>
            <w:r w:rsidRPr="00D63CBC">
              <w:rPr>
                <w:rFonts w:ascii="Garamond" w:hAnsi="Garamond"/>
                <w:b/>
                <w:sz w:val="20"/>
              </w:rPr>
              <w:t>Offered Enhancement to Minimum SLA</w:t>
            </w:r>
          </w:p>
        </w:tc>
      </w:tr>
      <w:tr w:rsidR="005E744A" w:rsidRPr="00D63CBC" w14:paraId="3F8DE33F" w14:textId="77777777" w:rsidTr="00E2F270">
        <w:trPr>
          <w:trHeight w:val="1516"/>
        </w:trPr>
        <w:tc>
          <w:tcPr>
            <w:tcW w:w="445" w:type="dxa"/>
            <w:vAlign w:val="center"/>
          </w:tcPr>
          <w:p w14:paraId="64FA63F9" w14:textId="6862C073" w:rsidR="005E744A" w:rsidRPr="00D63CBC" w:rsidRDefault="005E744A" w:rsidP="005E744A">
            <w:pPr>
              <w:widowControl/>
              <w:rPr>
                <w:rFonts w:ascii="Garamond" w:hAnsi="Garamond"/>
                <w:sz w:val="20"/>
              </w:rPr>
            </w:pPr>
            <w:r w:rsidRPr="00D63CBC">
              <w:rPr>
                <w:rFonts w:ascii="Garamond" w:hAnsi="Garamond"/>
                <w:sz w:val="20"/>
              </w:rPr>
              <w:t>1</w:t>
            </w:r>
          </w:p>
        </w:tc>
        <w:tc>
          <w:tcPr>
            <w:tcW w:w="1980" w:type="dxa"/>
            <w:vAlign w:val="center"/>
          </w:tcPr>
          <w:p w14:paraId="649841BE" w14:textId="2D4FCB5F" w:rsidR="005E744A" w:rsidRPr="00D63CBC" w:rsidRDefault="005E744A" w:rsidP="005E744A">
            <w:pPr>
              <w:widowControl/>
              <w:rPr>
                <w:rFonts w:ascii="Garamond" w:hAnsi="Garamond"/>
                <w:sz w:val="20"/>
              </w:rPr>
            </w:pPr>
            <w:r w:rsidRPr="00D63CBC">
              <w:rPr>
                <w:rFonts w:ascii="Garamond" w:hAnsi="Garamond"/>
                <w:sz w:val="20"/>
              </w:rPr>
              <w:t>Product Delivery Timeframe – Limited configuration or simple services added</w:t>
            </w:r>
          </w:p>
        </w:tc>
        <w:tc>
          <w:tcPr>
            <w:tcW w:w="5040" w:type="dxa"/>
            <w:vAlign w:val="center"/>
          </w:tcPr>
          <w:p w14:paraId="78854E59" w14:textId="2E4695E6" w:rsidR="005E744A" w:rsidRPr="00D63CBC" w:rsidRDefault="005E744A" w:rsidP="005E744A">
            <w:pPr>
              <w:pStyle w:val="Heading1"/>
              <w:keepLines/>
              <w:spacing w:before="120" w:after="120"/>
              <w:rPr>
                <w:rFonts w:ascii="Garamond" w:hAnsi="Garamond"/>
                <w:b w:val="0"/>
                <w:bCs w:val="0"/>
                <w:sz w:val="20"/>
                <w:szCs w:val="20"/>
              </w:rPr>
            </w:pPr>
            <w:r w:rsidRPr="00D63CBC">
              <w:rPr>
                <w:rFonts w:ascii="Garamond" w:hAnsi="Garamond"/>
                <w:b w:val="0"/>
                <w:bCs w:val="0"/>
                <w:sz w:val="20"/>
                <w:szCs w:val="20"/>
              </w:rPr>
              <w:t>Calculation of delivery from the date of purchase order receipt by Contractor to the date when the product is physically at the delivery location and address indicated on the purchase order.</w:t>
            </w:r>
          </w:p>
        </w:tc>
        <w:tc>
          <w:tcPr>
            <w:tcW w:w="1170" w:type="dxa"/>
            <w:shd w:val="clear" w:color="auto" w:fill="FFFFFF" w:themeFill="background1"/>
            <w:vAlign w:val="center"/>
          </w:tcPr>
          <w:p w14:paraId="5D9DBA08" w14:textId="1AB9264B" w:rsidR="005E744A" w:rsidRPr="00D63CBC" w:rsidRDefault="00CD1C02" w:rsidP="005E744A">
            <w:pPr>
              <w:widowControl/>
              <w:rPr>
                <w:rFonts w:ascii="Garamond" w:hAnsi="Garamond"/>
                <w:sz w:val="20"/>
              </w:rPr>
            </w:pPr>
            <w:r w:rsidRPr="00D63CBC">
              <w:rPr>
                <w:rFonts w:ascii="Garamond" w:hAnsi="Garamond"/>
                <w:sz w:val="20"/>
              </w:rPr>
              <w:t>Fifteen</w:t>
            </w:r>
            <w:r w:rsidR="005E744A" w:rsidRPr="00D63CBC">
              <w:rPr>
                <w:rFonts w:ascii="Garamond" w:hAnsi="Garamond"/>
                <w:sz w:val="20"/>
              </w:rPr>
              <w:t xml:space="preserve"> business days</w:t>
            </w:r>
          </w:p>
        </w:tc>
        <w:tc>
          <w:tcPr>
            <w:tcW w:w="810" w:type="dxa"/>
            <w:shd w:val="clear" w:color="auto" w:fill="FFFF99"/>
            <w:vAlign w:val="center"/>
          </w:tcPr>
          <w:p w14:paraId="65FE484F" w14:textId="21283BCE" w:rsidR="005E744A" w:rsidRPr="00D63CBC" w:rsidRDefault="00437E3B" w:rsidP="005E744A">
            <w:pPr>
              <w:widowControl/>
              <w:rPr>
                <w:rFonts w:ascii="Garamond" w:hAnsi="Garamond"/>
                <w:sz w:val="20"/>
              </w:rPr>
            </w:pPr>
            <w:r>
              <w:rPr>
                <w:rFonts w:ascii="Garamond" w:hAnsi="Garamond"/>
                <w:sz w:val="20"/>
              </w:rPr>
              <w:t>N/A</w:t>
            </w:r>
          </w:p>
        </w:tc>
        <w:tc>
          <w:tcPr>
            <w:tcW w:w="4752" w:type="dxa"/>
            <w:shd w:val="clear" w:color="auto" w:fill="FFFF99"/>
            <w:vAlign w:val="center"/>
          </w:tcPr>
          <w:p w14:paraId="5DAB6C7B" w14:textId="6994040A" w:rsidR="005E744A" w:rsidRPr="00D63CBC" w:rsidRDefault="00437E3B" w:rsidP="005E744A">
            <w:pPr>
              <w:widowControl/>
              <w:rPr>
                <w:rFonts w:ascii="Garamond" w:hAnsi="Garamond"/>
                <w:sz w:val="20"/>
              </w:rPr>
            </w:pPr>
            <w:r>
              <w:rPr>
                <w:rFonts w:ascii="Garamond" w:hAnsi="Garamond"/>
                <w:sz w:val="20"/>
              </w:rPr>
              <w:t>Mi-Case feels that this is not an appropriate Service Level for t</w:t>
            </w:r>
            <w:r w:rsidR="009609C1">
              <w:rPr>
                <w:rFonts w:ascii="Garamond" w:hAnsi="Garamond"/>
                <w:sz w:val="20"/>
              </w:rPr>
              <w:t xml:space="preserve">he scope of services </w:t>
            </w:r>
            <w:r w:rsidR="008F3A23">
              <w:rPr>
                <w:rFonts w:ascii="Garamond" w:hAnsi="Garamond"/>
                <w:sz w:val="20"/>
              </w:rPr>
              <w:t>requested.</w:t>
            </w:r>
            <w:r w:rsidR="009609C1">
              <w:rPr>
                <w:rFonts w:ascii="Garamond" w:hAnsi="Garamond"/>
                <w:sz w:val="20"/>
              </w:rPr>
              <w:t xml:space="preserve"> </w:t>
            </w:r>
            <w:r w:rsidR="00FA2DA7">
              <w:rPr>
                <w:rFonts w:ascii="Garamond" w:hAnsi="Garamond"/>
                <w:sz w:val="20"/>
              </w:rPr>
              <w:t>If</w:t>
            </w:r>
            <w:r w:rsidR="000D5B4F">
              <w:rPr>
                <w:rFonts w:ascii="Garamond" w:hAnsi="Garamond"/>
                <w:sz w:val="20"/>
              </w:rPr>
              <w:t xml:space="preserve"> Mi-Case has misunderstood this requirement </w:t>
            </w:r>
            <w:r w:rsidR="00A85BC6">
              <w:rPr>
                <w:rFonts w:ascii="Garamond" w:hAnsi="Garamond"/>
                <w:sz w:val="20"/>
              </w:rPr>
              <w:t>we encou</w:t>
            </w:r>
            <w:r w:rsidR="00564759">
              <w:rPr>
                <w:rFonts w:ascii="Garamond" w:hAnsi="Garamond"/>
                <w:sz w:val="20"/>
              </w:rPr>
              <w:t xml:space="preserve">rage </w:t>
            </w:r>
            <w:r w:rsidR="00FA2DA7">
              <w:rPr>
                <w:rFonts w:ascii="Garamond" w:hAnsi="Garamond"/>
                <w:sz w:val="20"/>
              </w:rPr>
              <w:t>dialogue to fully understand what is required.</w:t>
            </w:r>
          </w:p>
        </w:tc>
      </w:tr>
      <w:tr w:rsidR="00FA2DA7" w:rsidRPr="00D63CBC" w14:paraId="301D21D5" w14:textId="77777777" w:rsidTr="00E2F270">
        <w:trPr>
          <w:trHeight w:val="652"/>
        </w:trPr>
        <w:tc>
          <w:tcPr>
            <w:tcW w:w="445" w:type="dxa"/>
            <w:vAlign w:val="center"/>
          </w:tcPr>
          <w:p w14:paraId="7221D0EA" w14:textId="2E8C4652" w:rsidR="00FA2DA7" w:rsidRPr="00D63CBC" w:rsidRDefault="00FA2DA7" w:rsidP="00FA2DA7">
            <w:pPr>
              <w:widowControl/>
              <w:rPr>
                <w:rFonts w:ascii="Garamond" w:hAnsi="Garamond"/>
                <w:sz w:val="20"/>
              </w:rPr>
            </w:pPr>
            <w:r w:rsidRPr="00D63CBC">
              <w:rPr>
                <w:rFonts w:ascii="Garamond" w:hAnsi="Garamond"/>
                <w:sz w:val="20"/>
              </w:rPr>
              <w:t>2</w:t>
            </w:r>
          </w:p>
        </w:tc>
        <w:tc>
          <w:tcPr>
            <w:tcW w:w="1980" w:type="dxa"/>
            <w:vAlign w:val="center"/>
          </w:tcPr>
          <w:p w14:paraId="18F999B5" w14:textId="690D988E" w:rsidR="00FA2DA7" w:rsidRPr="00D63CBC" w:rsidRDefault="00FA2DA7" w:rsidP="00FA2DA7">
            <w:pPr>
              <w:widowControl/>
              <w:rPr>
                <w:rFonts w:ascii="Garamond" w:hAnsi="Garamond"/>
                <w:sz w:val="20"/>
              </w:rPr>
            </w:pPr>
            <w:r w:rsidRPr="00D63CBC">
              <w:rPr>
                <w:rFonts w:ascii="Garamond" w:hAnsi="Garamond"/>
                <w:sz w:val="20"/>
              </w:rPr>
              <w:t>Product Delivery Timeframe – Complex configuration or complex services added</w:t>
            </w:r>
          </w:p>
        </w:tc>
        <w:tc>
          <w:tcPr>
            <w:tcW w:w="5040" w:type="dxa"/>
            <w:vAlign w:val="center"/>
          </w:tcPr>
          <w:p w14:paraId="1C316CBA" w14:textId="6E901873" w:rsidR="00FA2DA7" w:rsidRPr="00D63CBC" w:rsidRDefault="00FA2DA7" w:rsidP="00FA2DA7">
            <w:pPr>
              <w:pStyle w:val="Heading1"/>
              <w:keepLines/>
              <w:spacing w:before="120" w:after="120"/>
              <w:rPr>
                <w:rFonts w:ascii="Garamond" w:hAnsi="Garamond"/>
                <w:b w:val="0"/>
                <w:sz w:val="20"/>
                <w:szCs w:val="20"/>
              </w:rPr>
            </w:pPr>
            <w:r w:rsidRPr="00D63CBC">
              <w:rPr>
                <w:rFonts w:ascii="Garamond" w:hAnsi="Garamond"/>
                <w:b w:val="0"/>
                <w:bCs w:val="0"/>
                <w:sz w:val="20"/>
                <w:szCs w:val="20"/>
              </w:rPr>
              <w:t>Calculation of delivery from the date of purchase order receipt by Contractor to the date when the product is physically at the delivery location and address indicated on the purchase order.  SLA applies to the desktop, laptop, tablet, monitor, and printer product categories.</w:t>
            </w:r>
          </w:p>
        </w:tc>
        <w:tc>
          <w:tcPr>
            <w:tcW w:w="1170" w:type="dxa"/>
            <w:shd w:val="clear" w:color="auto" w:fill="FFFFFF" w:themeFill="background1"/>
            <w:vAlign w:val="center"/>
          </w:tcPr>
          <w:p w14:paraId="426AC690" w14:textId="6AAEDC0F" w:rsidR="00FA2DA7" w:rsidRPr="00D63CBC" w:rsidRDefault="00FA2DA7" w:rsidP="00FA2DA7">
            <w:pPr>
              <w:widowControl/>
              <w:rPr>
                <w:rFonts w:ascii="Garamond" w:hAnsi="Garamond"/>
                <w:sz w:val="20"/>
              </w:rPr>
            </w:pPr>
            <w:r w:rsidRPr="00D63CBC">
              <w:rPr>
                <w:rFonts w:ascii="Garamond" w:hAnsi="Garamond"/>
                <w:sz w:val="20"/>
              </w:rPr>
              <w:t>Twenty-five business days</w:t>
            </w:r>
          </w:p>
        </w:tc>
        <w:tc>
          <w:tcPr>
            <w:tcW w:w="810" w:type="dxa"/>
            <w:shd w:val="clear" w:color="auto" w:fill="FFFF99"/>
            <w:vAlign w:val="center"/>
          </w:tcPr>
          <w:p w14:paraId="259A9136" w14:textId="1B3D95EA" w:rsidR="00FA2DA7" w:rsidRPr="00D63CBC" w:rsidRDefault="00FA2DA7" w:rsidP="00FA2DA7">
            <w:pPr>
              <w:widowControl/>
              <w:rPr>
                <w:rFonts w:ascii="Garamond" w:hAnsi="Garamond"/>
                <w:sz w:val="20"/>
              </w:rPr>
            </w:pPr>
            <w:r>
              <w:rPr>
                <w:rFonts w:ascii="Garamond" w:hAnsi="Garamond"/>
                <w:sz w:val="20"/>
              </w:rPr>
              <w:t>N/A</w:t>
            </w:r>
          </w:p>
        </w:tc>
        <w:tc>
          <w:tcPr>
            <w:tcW w:w="4752" w:type="dxa"/>
            <w:shd w:val="clear" w:color="auto" w:fill="FFFF99"/>
            <w:vAlign w:val="center"/>
          </w:tcPr>
          <w:p w14:paraId="02EB378F" w14:textId="36B4A6E4" w:rsidR="00FA2DA7" w:rsidRPr="00D63CBC" w:rsidRDefault="00FA2DA7" w:rsidP="00FA2DA7">
            <w:pPr>
              <w:widowControl/>
              <w:rPr>
                <w:rFonts w:ascii="Garamond" w:hAnsi="Garamond"/>
                <w:sz w:val="20"/>
              </w:rPr>
            </w:pPr>
            <w:r>
              <w:rPr>
                <w:rFonts w:ascii="Garamond" w:hAnsi="Garamond"/>
                <w:sz w:val="20"/>
              </w:rPr>
              <w:t>Mi-Case feels that this is not an appropriate Service Level for the scope of services requested. If Mi-Case has misunderstood this requirement we encourage dialogue to fully understand what is required.</w:t>
            </w:r>
          </w:p>
        </w:tc>
      </w:tr>
      <w:tr w:rsidR="00FA2DA7" w:rsidRPr="00D63CBC" w14:paraId="65C3A6E2" w14:textId="77777777" w:rsidTr="00E2F270">
        <w:trPr>
          <w:trHeight w:val="652"/>
        </w:trPr>
        <w:tc>
          <w:tcPr>
            <w:tcW w:w="445" w:type="dxa"/>
            <w:vAlign w:val="center"/>
          </w:tcPr>
          <w:p w14:paraId="00D44BAF" w14:textId="4BD95F58" w:rsidR="00FA2DA7" w:rsidRPr="00D63CBC" w:rsidRDefault="00FA2DA7" w:rsidP="00FA2DA7">
            <w:pPr>
              <w:widowControl/>
              <w:rPr>
                <w:rFonts w:ascii="Garamond" w:hAnsi="Garamond"/>
                <w:sz w:val="20"/>
              </w:rPr>
            </w:pPr>
            <w:r w:rsidRPr="00D63CBC">
              <w:rPr>
                <w:rFonts w:ascii="Garamond" w:hAnsi="Garamond"/>
                <w:sz w:val="20"/>
              </w:rPr>
              <w:t>3</w:t>
            </w:r>
          </w:p>
        </w:tc>
        <w:tc>
          <w:tcPr>
            <w:tcW w:w="1980" w:type="dxa"/>
            <w:vAlign w:val="center"/>
          </w:tcPr>
          <w:p w14:paraId="6B682FB8" w14:textId="037592C6" w:rsidR="00FA2DA7" w:rsidRPr="00D63CBC" w:rsidRDefault="00FA2DA7" w:rsidP="00FA2DA7">
            <w:pPr>
              <w:widowControl/>
              <w:rPr>
                <w:rFonts w:ascii="Garamond" w:hAnsi="Garamond"/>
                <w:sz w:val="20"/>
              </w:rPr>
            </w:pPr>
            <w:r w:rsidRPr="00D63CBC">
              <w:rPr>
                <w:rFonts w:ascii="Garamond" w:hAnsi="Garamond"/>
                <w:sz w:val="20"/>
              </w:rPr>
              <w:t>Configuration Accuracy</w:t>
            </w:r>
          </w:p>
        </w:tc>
        <w:tc>
          <w:tcPr>
            <w:tcW w:w="5040" w:type="dxa"/>
            <w:vAlign w:val="center"/>
          </w:tcPr>
          <w:p w14:paraId="16FB9A10" w14:textId="46BDF4D5" w:rsidR="00FA2DA7" w:rsidRPr="00D63CBC" w:rsidRDefault="00FA2DA7" w:rsidP="00FA2DA7">
            <w:pPr>
              <w:pStyle w:val="Heading1"/>
              <w:keepLines/>
              <w:spacing w:before="120" w:after="120"/>
              <w:rPr>
                <w:rFonts w:ascii="Garamond" w:hAnsi="Garamond"/>
                <w:b w:val="0"/>
                <w:bCs w:val="0"/>
                <w:sz w:val="20"/>
                <w:szCs w:val="20"/>
              </w:rPr>
            </w:pPr>
            <w:r w:rsidRPr="00D63CBC">
              <w:rPr>
                <w:rFonts w:ascii="Garamond" w:hAnsi="Garamond"/>
                <w:b w:val="0"/>
                <w:bCs w:val="0"/>
                <w:sz w:val="20"/>
              </w:rPr>
              <w:t>Contractor shall deliver error-free configured servers (per the quote and purchase order details).</w:t>
            </w:r>
          </w:p>
        </w:tc>
        <w:tc>
          <w:tcPr>
            <w:tcW w:w="1170" w:type="dxa"/>
            <w:shd w:val="clear" w:color="auto" w:fill="FFFFFF" w:themeFill="background1"/>
            <w:vAlign w:val="center"/>
          </w:tcPr>
          <w:p w14:paraId="4D520C56" w14:textId="1BFF6A73" w:rsidR="00FA2DA7" w:rsidRPr="00D63CBC" w:rsidRDefault="00FA2DA7" w:rsidP="00FA2DA7">
            <w:pPr>
              <w:widowControl/>
              <w:rPr>
                <w:rFonts w:ascii="Garamond" w:hAnsi="Garamond"/>
                <w:sz w:val="20"/>
              </w:rPr>
            </w:pPr>
            <w:r w:rsidRPr="00D63CBC">
              <w:rPr>
                <w:rFonts w:ascii="Garamond" w:hAnsi="Garamond"/>
                <w:sz w:val="20"/>
              </w:rPr>
              <w:t>99%</w:t>
            </w:r>
          </w:p>
        </w:tc>
        <w:tc>
          <w:tcPr>
            <w:tcW w:w="810" w:type="dxa"/>
            <w:shd w:val="clear" w:color="auto" w:fill="FFFF99"/>
            <w:vAlign w:val="center"/>
          </w:tcPr>
          <w:p w14:paraId="5FB025BE" w14:textId="1B5A9A48" w:rsidR="00FA2DA7" w:rsidRPr="00D63CBC" w:rsidRDefault="00FA2DA7" w:rsidP="00FA2DA7">
            <w:pPr>
              <w:widowControl/>
              <w:rPr>
                <w:rFonts w:ascii="Garamond" w:hAnsi="Garamond"/>
                <w:sz w:val="20"/>
              </w:rPr>
            </w:pPr>
            <w:r w:rsidRPr="2214BA97">
              <w:rPr>
                <w:rFonts w:ascii="Garamond" w:hAnsi="Garamond"/>
                <w:sz w:val="20"/>
              </w:rPr>
              <w:t>Y</w:t>
            </w:r>
          </w:p>
        </w:tc>
        <w:tc>
          <w:tcPr>
            <w:tcW w:w="4752" w:type="dxa"/>
            <w:shd w:val="clear" w:color="auto" w:fill="FFFF99"/>
            <w:vAlign w:val="center"/>
          </w:tcPr>
          <w:p w14:paraId="03A4D673" w14:textId="77777777" w:rsidR="00FA2DA7" w:rsidRPr="00D63CBC" w:rsidRDefault="00FA2DA7" w:rsidP="00FA2DA7">
            <w:pPr>
              <w:widowControl/>
              <w:rPr>
                <w:rFonts w:ascii="Garamond" w:hAnsi="Garamond"/>
                <w:sz w:val="20"/>
              </w:rPr>
            </w:pPr>
          </w:p>
        </w:tc>
      </w:tr>
      <w:tr w:rsidR="00C256BE" w:rsidRPr="00D63CBC" w14:paraId="66A4772E" w14:textId="77777777" w:rsidTr="00E2F270">
        <w:trPr>
          <w:trHeight w:val="580"/>
        </w:trPr>
        <w:tc>
          <w:tcPr>
            <w:tcW w:w="445" w:type="dxa"/>
            <w:vAlign w:val="center"/>
          </w:tcPr>
          <w:p w14:paraId="50FD56DA" w14:textId="6D2B93B3" w:rsidR="00C256BE" w:rsidRPr="00D63CBC" w:rsidRDefault="00C256BE" w:rsidP="00C256BE">
            <w:pPr>
              <w:widowControl/>
              <w:rPr>
                <w:rFonts w:ascii="Garamond" w:hAnsi="Garamond"/>
                <w:sz w:val="20"/>
              </w:rPr>
            </w:pPr>
            <w:r w:rsidRPr="00D63CBC">
              <w:rPr>
                <w:rFonts w:ascii="Garamond" w:hAnsi="Garamond"/>
                <w:sz w:val="20"/>
              </w:rPr>
              <w:t>4</w:t>
            </w:r>
          </w:p>
        </w:tc>
        <w:tc>
          <w:tcPr>
            <w:tcW w:w="1980" w:type="dxa"/>
            <w:vAlign w:val="center"/>
          </w:tcPr>
          <w:p w14:paraId="21F9CF2D" w14:textId="44BFC5DE" w:rsidR="00C256BE" w:rsidRPr="00D63CBC" w:rsidRDefault="00C256BE" w:rsidP="00C256BE">
            <w:pPr>
              <w:widowControl/>
              <w:rPr>
                <w:rFonts w:ascii="Garamond" w:hAnsi="Garamond"/>
                <w:sz w:val="20"/>
              </w:rPr>
            </w:pPr>
            <w:r w:rsidRPr="00D63CBC">
              <w:rPr>
                <w:rFonts w:ascii="Garamond" w:hAnsi="Garamond"/>
                <w:sz w:val="20"/>
              </w:rPr>
              <w:t>Part Delivery – New Products</w:t>
            </w:r>
          </w:p>
        </w:tc>
        <w:tc>
          <w:tcPr>
            <w:tcW w:w="5040" w:type="dxa"/>
            <w:vAlign w:val="center"/>
          </w:tcPr>
          <w:p w14:paraId="078DACFF" w14:textId="0D5ED3B2" w:rsidR="00C256BE" w:rsidRPr="00D63CBC" w:rsidRDefault="00C256BE" w:rsidP="00C256BE">
            <w:pPr>
              <w:pStyle w:val="Heading1"/>
              <w:keepLines/>
              <w:tabs>
                <w:tab w:val="left" w:pos="2700"/>
              </w:tabs>
              <w:spacing w:before="120" w:after="120"/>
              <w:rPr>
                <w:rFonts w:ascii="Garamond" w:hAnsi="Garamond"/>
                <w:b w:val="0"/>
                <w:sz w:val="20"/>
                <w:szCs w:val="20"/>
              </w:rPr>
            </w:pPr>
            <w:r w:rsidRPr="00D63CBC">
              <w:rPr>
                <w:rFonts w:ascii="Garamond" w:hAnsi="Garamond"/>
                <w:b w:val="0"/>
                <w:sz w:val="20"/>
                <w:szCs w:val="20"/>
              </w:rPr>
              <w:t>Calculation of delivery from the time the part request is received by Contractor.</w:t>
            </w:r>
          </w:p>
        </w:tc>
        <w:tc>
          <w:tcPr>
            <w:tcW w:w="1170" w:type="dxa"/>
            <w:shd w:val="clear" w:color="auto" w:fill="FFFFFF" w:themeFill="background1"/>
            <w:vAlign w:val="center"/>
          </w:tcPr>
          <w:p w14:paraId="6132563A" w14:textId="791F97F8" w:rsidR="00C256BE" w:rsidRPr="00D63CBC" w:rsidRDefault="00C256BE" w:rsidP="00C256BE">
            <w:pPr>
              <w:widowControl/>
              <w:rPr>
                <w:rFonts w:ascii="Garamond" w:hAnsi="Garamond"/>
                <w:sz w:val="20"/>
              </w:rPr>
            </w:pPr>
            <w:r w:rsidRPr="00D63CBC">
              <w:rPr>
                <w:rFonts w:ascii="Garamond" w:hAnsi="Garamond"/>
                <w:sz w:val="20"/>
              </w:rPr>
              <w:t>Six hours</w:t>
            </w:r>
          </w:p>
        </w:tc>
        <w:tc>
          <w:tcPr>
            <w:tcW w:w="810" w:type="dxa"/>
            <w:shd w:val="clear" w:color="auto" w:fill="FFFF99"/>
            <w:vAlign w:val="center"/>
          </w:tcPr>
          <w:p w14:paraId="6322D39F" w14:textId="34FB2D96" w:rsidR="00C256BE" w:rsidRPr="00D63CBC" w:rsidRDefault="00C256BE" w:rsidP="00C256BE">
            <w:pPr>
              <w:widowControl/>
              <w:rPr>
                <w:rFonts w:ascii="Garamond" w:hAnsi="Garamond"/>
                <w:sz w:val="20"/>
              </w:rPr>
            </w:pPr>
            <w:r>
              <w:rPr>
                <w:rFonts w:ascii="Garamond" w:hAnsi="Garamond"/>
                <w:sz w:val="20"/>
              </w:rPr>
              <w:t>N/A</w:t>
            </w:r>
          </w:p>
        </w:tc>
        <w:tc>
          <w:tcPr>
            <w:tcW w:w="4752" w:type="dxa"/>
            <w:shd w:val="clear" w:color="auto" w:fill="FFFF99"/>
            <w:vAlign w:val="center"/>
          </w:tcPr>
          <w:p w14:paraId="4A1D71D3" w14:textId="6161E8C4" w:rsidR="00C256BE" w:rsidRPr="00B8449F" w:rsidRDefault="00C256BE" w:rsidP="00E2F270">
            <w:pPr>
              <w:widowControl/>
              <w:rPr>
                <w:rFonts w:ascii="Garamond" w:hAnsi="Garamond"/>
                <w:sz w:val="20"/>
              </w:rPr>
            </w:pPr>
            <w:bookmarkStart w:id="0" w:name="_GoBack"/>
            <w:bookmarkEnd w:id="0"/>
            <w:r w:rsidRPr="00E2F270">
              <w:rPr>
                <w:rFonts w:ascii="Garamond" w:hAnsi="Garamond"/>
                <w:sz w:val="20"/>
              </w:rPr>
              <w:t>Mi-Case feels that this is not an appropriate Service Level for the scope of services requested. If Mi-Case has misunderstood this requirement we encourage dialogue to fully understand what is required.</w:t>
            </w:r>
          </w:p>
        </w:tc>
      </w:tr>
      <w:tr w:rsidR="00C256BE" w:rsidRPr="00D63CBC" w14:paraId="278E53DE" w14:textId="77777777" w:rsidTr="00E2F270">
        <w:trPr>
          <w:trHeight w:val="580"/>
        </w:trPr>
        <w:tc>
          <w:tcPr>
            <w:tcW w:w="445" w:type="dxa"/>
            <w:vAlign w:val="center"/>
          </w:tcPr>
          <w:p w14:paraId="31D0A261" w14:textId="3BCE26F9" w:rsidR="00C256BE" w:rsidRPr="00D63CBC" w:rsidRDefault="00C256BE" w:rsidP="00C256BE">
            <w:pPr>
              <w:widowControl/>
              <w:rPr>
                <w:rFonts w:ascii="Garamond" w:hAnsi="Garamond"/>
                <w:sz w:val="20"/>
              </w:rPr>
            </w:pPr>
            <w:r w:rsidRPr="00D63CBC">
              <w:rPr>
                <w:rFonts w:ascii="Garamond" w:hAnsi="Garamond"/>
                <w:sz w:val="20"/>
              </w:rPr>
              <w:t>5</w:t>
            </w:r>
          </w:p>
        </w:tc>
        <w:tc>
          <w:tcPr>
            <w:tcW w:w="1980" w:type="dxa"/>
            <w:vAlign w:val="center"/>
          </w:tcPr>
          <w:p w14:paraId="2BF230CA" w14:textId="6F6D851D" w:rsidR="00C256BE" w:rsidRPr="00D63CBC" w:rsidRDefault="00C256BE" w:rsidP="00C256BE">
            <w:pPr>
              <w:widowControl/>
              <w:rPr>
                <w:rFonts w:ascii="Garamond" w:hAnsi="Garamond"/>
                <w:sz w:val="20"/>
              </w:rPr>
            </w:pPr>
            <w:r w:rsidRPr="00D63CBC">
              <w:rPr>
                <w:rFonts w:ascii="Garamond" w:hAnsi="Garamond"/>
                <w:sz w:val="20"/>
              </w:rPr>
              <w:t>Part Delivery – Standard or Extended Warranty</w:t>
            </w:r>
          </w:p>
        </w:tc>
        <w:tc>
          <w:tcPr>
            <w:tcW w:w="5040" w:type="dxa"/>
            <w:vAlign w:val="center"/>
          </w:tcPr>
          <w:p w14:paraId="05468F27" w14:textId="4979EEB7" w:rsidR="00C256BE" w:rsidRPr="00D63CBC" w:rsidRDefault="00C256BE" w:rsidP="00C256BE">
            <w:pPr>
              <w:pStyle w:val="Heading1"/>
              <w:keepLines/>
              <w:tabs>
                <w:tab w:val="left" w:pos="2700"/>
              </w:tabs>
              <w:spacing w:before="120" w:after="120"/>
              <w:rPr>
                <w:rFonts w:ascii="Garamond" w:hAnsi="Garamond"/>
                <w:b w:val="0"/>
                <w:sz w:val="20"/>
                <w:szCs w:val="20"/>
              </w:rPr>
            </w:pPr>
            <w:r w:rsidRPr="00D63CBC">
              <w:rPr>
                <w:rFonts w:ascii="Garamond" w:hAnsi="Garamond"/>
                <w:b w:val="0"/>
                <w:sz w:val="20"/>
                <w:szCs w:val="20"/>
              </w:rPr>
              <w:t>Calculation of delivery from the time the part request is received by Contractor.</w:t>
            </w:r>
          </w:p>
        </w:tc>
        <w:tc>
          <w:tcPr>
            <w:tcW w:w="1170" w:type="dxa"/>
            <w:shd w:val="clear" w:color="auto" w:fill="FFFFFF" w:themeFill="background1"/>
            <w:vAlign w:val="center"/>
          </w:tcPr>
          <w:p w14:paraId="7EEE6F81" w14:textId="084B4D19" w:rsidR="00C256BE" w:rsidRPr="00D63CBC" w:rsidRDefault="00C256BE" w:rsidP="00C256BE">
            <w:pPr>
              <w:widowControl/>
              <w:rPr>
                <w:rFonts w:ascii="Garamond" w:hAnsi="Garamond"/>
                <w:sz w:val="20"/>
              </w:rPr>
            </w:pPr>
            <w:r w:rsidRPr="00D63CBC">
              <w:rPr>
                <w:rFonts w:ascii="Garamond" w:hAnsi="Garamond"/>
                <w:sz w:val="20"/>
              </w:rPr>
              <w:t>Forty-eight hours</w:t>
            </w:r>
          </w:p>
        </w:tc>
        <w:tc>
          <w:tcPr>
            <w:tcW w:w="810" w:type="dxa"/>
            <w:shd w:val="clear" w:color="auto" w:fill="FFFF99"/>
            <w:vAlign w:val="center"/>
          </w:tcPr>
          <w:p w14:paraId="1C38ABBD" w14:textId="62D32C6E" w:rsidR="00C256BE" w:rsidRPr="00D63CBC" w:rsidRDefault="00C256BE" w:rsidP="00C256BE">
            <w:pPr>
              <w:widowControl/>
              <w:rPr>
                <w:rFonts w:ascii="Garamond" w:hAnsi="Garamond"/>
                <w:sz w:val="20"/>
              </w:rPr>
            </w:pPr>
            <w:r>
              <w:rPr>
                <w:rFonts w:ascii="Garamond" w:hAnsi="Garamond"/>
                <w:sz w:val="20"/>
              </w:rPr>
              <w:t>N/A</w:t>
            </w:r>
          </w:p>
        </w:tc>
        <w:tc>
          <w:tcPr>
            <w:tcW w:w="4752" w:type="dxa"/>
            <w:shd w:val="clear" w:color="auto" w:fill="FFFF99"/>
            <w:vAlign w:val="center"/>
          </w:tcPr>
          <w:p w14:paraId="45213F83" w14:textId="491ACB63" w:rsidR="00C256BE" w:rsidRPr="00D63CBC" w:rsidRDefault="00C256BE" w:rsidP="00C256BE">
            <w:pPr>
              <w:widowControl/>
              <w:rPr>
                <w:rFonts w:ascii="Garamond" w:hAnsi="Garamond"/>
                <w:sz w:val="20"/>
              </w:rPr>
            </w:pPr>
            <w:r>
              <w:rPr>
                <w:rFonts w:ascii="Garamond" w:hAnsi="Garamond"/>
                <w:sz w:val="20"/>
              </w:rPr>
              <w:t>Mi-Case feels that this is not an appropriate Service Level for the scope of services requested. If Mi-Case has misunderstood this requirement we encourage dialogue to fully understand what is required.</w:t>
            </w:r>
          </w:p>
        </w:tc>
      </w:tr>
      <w:tr w:rsidR="00C256BE" w:rsidRPr="00D63CBC" w14:paraId="1BEBDF2D" w14:textId="77777777" w:rsidTr="00E2F270">
        <w:trPr>
          <w:trHeight w:val="580"/>
        </w:trPr>
        <w:tc>
          <w:tcPr>
            <w:tcW w:w="445" w:type="dxa"/>
            <w:vAlign w:val="center"/>
          </w:tcPr>
          <w:p w14:paraId="0EBE701F" w14:textId="70184609" w:rsidR="00C256BE" w:rsidRPr="00D63CBC" w:rsidRDefault="00C256BE" w:rsidP="00C256BE">
            <w:pPr>
              <w:widowControl/>
              <w:rPr>
                <w:rFonts w:ascii="Garamond" w:hAnsi="Garamond"/>
                <w:sz w:val="20"/>
              </w:rPr>
            </w:pPr>
            <w:r w:rsidRPr="00D63CBC">
              <w:rPr>
                <w:rFonts w:ascii="Garamond" w:hAnsi="Garamond"/>
                <w:sz w:val="20"/>
              </w:rPr>
              <w:t>6</w:t>
            </w:r>
          </w:p>
        </w:tc>
        <w:tc>
          <w:tcPr>
            <w:tcW w:w="1980" w:type="dxa"/>
            <w:vAlign w:val="center"/>
          </w:tcPr>
          <w:p w14:paraId="5FCD5EC4" w14:textId="4092E0F6" w:rsidR="00C256BE" w:rsidRPr="00D63CBC" w:rsidRDefault="00C256BE" w:rsidP="00C256BE">
            <w:pPr>
              <w:widowControl/>
              <w:rPr>
                <w:rFonts w:ascii="Garamond" w:hAnsi="Garamond"/>
                <w:sz w:val="20"/>
              </w:rPr>
            </w:pPr>
            <w:r w:rsidRPr="00D63CBC">
              <w:rPr>
                <w:rFonts w:ascii="Garamond" w:hAnsi="Garamond"/>
                <w:sz w:val="20"/>
              </w:rPr>
              <w:t>Dedicated Website – System “Up Time”</w:t>
            </w:r>
          </w:p>
        </w:tc>
        <w:tc>
          <w:tcPr>
            <w:tcW w:w="5040" w:type="dxa"/>
            <w:vAlign w:val="center"/>
          </w:tcPr>
          <w:p w14:paraId="4522AACE" w14:textId="0CB42C9B" w:rsidR="00C256BE" w:rsidRPr="00D63CBC" w:rsidRDefault="00C256BE" w:rsidP="00C256BE">
            <w:pPr>
              <w:pStyle w:val="Heading1"/>
              <w:keepLines/>
              <w:tabs>
                <w:tab w:val="left" w:pos="2700"/>
              </w:tabs>
              <w:spacing w:before="120" w:after="120"/>
              <w:rPr>
                <w:rFonts w:ascii="Garamond" w:hAnsi="Garamond"/>
                <w:b w:val="0"/>
                <w:sz w:val="20"/>
                <w:szCs w:val="20"/>
              </w:rPr>
            </w:pPr>
            <w:r w:rsidRPr="00D63CBC">
              <w:rPr>
                <w:rFonts w:ascii="Garamond" w:hAnsi="Garamond"/>
                <w:b w:val="0"/>
                <w:sz w:val="20"/>
                <w:szCs w:val="20"/>
              </w:rPr>
              <w:t>Percentage of time the system is accessible and usable during business hours of 7AM – 6PM EST, Monday through Friday.</w:t>
            </w:r>
          </w:p>
        </w:tc>
        <w:tc>
          <w:tcPr>
            <w:tcW w:w="1170" w:type="dxa"/>
            <w:shd w:val="clear" w:color="auto" w:fill="FFFFFF" w:themeFill="background1"/>
            <w:vAlign w:val="center"/>
          </w:tcPr>
          <w:p w14:paraId="5EDF31BE" w14:textId="1284F8A7" w:rsidR="00C256BE" w:rsidRPr="00D63CBC" w:rsidRDefault="00C256BE" w:rsidP="00C256BE">
            <w:pPr>
              <w:widowControl/>
              <w:rPr>
                <w:rFonts w:ascii="Garamond" w:hAnsi="Garamond"/>
                <w:sz w:val="20"/>
              </w:rPr>
            </w:pPr>
            <w:r w:rsidRPr="00D63CBC">
              <w:rPr>
                <w:rFonts w:ascii="Garamond" w:hAnsi="Garamond"/>
                <w:sz w:val="20"/>
              </w:rPr>
              <w:t>99%</w:t>
            </w:r>
          </w:p>
        </w:tc>
        <w:tc>
          <w:tcPr>
            <w:tcW w:w="810" w:type="dxa"/>
            <w:shd w:val="clear" w:color="auto" w:fill="FFFF99"/>
            <w:vAlign w:val="center"/>
          </w:tcPr>
          <w:p w14:paraId="015D18FF" w14:textId="030080E3" w:rsidR="00C256BE" w:rsidRPr="00D63CBC" w:rsidRDefault="00C256BE" w:rsidP="00C256BE">
            <w:pPr>
              <w:widowControl/>
              <w:rPr>
                <w:rFonts w:ascii="Garamond" w:hAnsi="Garamond"/>
                <w:sz w:val="20"/>
              </w:rPr>
            </w:pPr>
            <w:r>
              <w:rPr>
                <w:rFonts w:ascii="Garamond" w:hAnsi="Garamond"/>
                <w:sz w:val="20"/>
              </w:rPr>
              <w:t>Y</w:t>
            </w:r>
          </w:p>
        </w:tc>
        <w:tc>
          <w:tcPr>
            <w:tcW w:w="4752" w:type="dxa"/>
            <w:shd w:val="clear" w:color="auto" w:fill="FFFF99"/>
            <w:vAlign w:val="center"/>
          </w:tcPr>
          <w:p w14:paraId="6A05A809" w14:textId="6017852E" w:rsidR="00C256BE" w:rsidRPr="00D63CBC" w:rsidRDefault="00C256BE" w:rsidP="00C256BE">
            <w:pPr>
              <w:widowControl/>
              <w:rPr>
                <w:rFonts w:ascii="Garamond" w:hAnsi="Garamond"/>
                <w:sz w:val="20"/>
              </w:rPr>
            </w:pPr>
          </w:p>
        </w:tc>
      </w:tr>
      <w:tr w:rsidR="00C256BE" w:rsidRPr="00D63CBC" w14:paraId="6E079663" w14:textId="77777777" w:rsidTr="00E2F270">
        <w:trPr>
          <w:trHeight w:val="535"/>
        </w:trPr>
        <w:tc>
          <w:tcPr>
            <w:tcW w:w="445" w:type="dxa"/>
            <w:vAlign w:val="center"/>
          </w:tcPr>
          <w:p w14:paraId="3E887A2C" w14:textId="3925C042" w:rsidR="00C256BE" w:rsidRPr="00D63CBC" w:rsidRDefault="00C256BE" w:rsidP="00C256BE">
            <w:pPr>
              <w:widowControl/>
              <w:rPr>
                <w:rFonts w:ascii="Garamond" w:hAnsi="Garamond"/>
                <w:sz w:val="20"/>
              </w:rPr>
            </w:pPr>
            <w:r w:rsidRPr="00D63CBC">
              <w:rPr>
                <w:rFonts w:ascii="Garamond" w:hAnsi="Garamond"/>
                <w:sz w:val="20"/>
              </w:rPr>
              <w:t>7</w:t>
            </w:r>
          </w:p>
        </w:tc>
        <w:tc>
          <w:tcPr>
            <w:tcW w:w="1980" w:type="dxa"/>
            <w:vAlign w:val="center"/>
          </w:tcPr>
          <w:p w14:paraId="2598DEE6" w14:textId="4385D201" w:rsidR="00C256BE" w:rsidRPr="00D63CBC" w:rsidRDefault="00C256BE" w:rsidP="00C256BE">
            <w:pPr>
              <w:widowControl/>
              <w:rPr>
                <w:rFonts w:ascii="Garamond" w:hAnsi="Garamond"/>
                <w:sz w:val="20"/>
              </w:rPr>
            </w:pPr>
            <w:r w:rsidRPr="00D63CBC">
              <w:rPr>
                <w:rFonts w:ascii="Garamond" w:hAnsi="Garamond"/>
                <w:sz w:val="20"/>
              </w:rPr>
              <w:t>Dedicated Website – Accuracy of Information</w:t>
            </w:r>
          </w:p>
        </w:tc>
        <w:tc>
          <w:tcPr>
            <w:tcW w:w="5040" w:type="dxa"/>
            <w:vAlign w:val="center"/>
          </w:tcPr>
          <w:p w14:paraId="4B891936" w14:textId="77777777" w:rsidR="00C256BE" w:rsidRPr="00D63CBC" w:rsidRDefault="00C256BE" w:rsidP="00C256BE">
            <w:pPr>
              <w:widowControl/>
              <w:rPr>
                <w:rFonts w:ascii="Garamond" w:hAnsi="Garamond"/>
                <w:sz w:val="20"/>
              </w:rPr>
            </w:pPr>
          </w:p>
          <w:p w14:paraId="52523207" w14:textId="77777777" w:rsidR="00C256BE" w:rsidRPr="00D63CBC" w:rsidRDefault="00C256BE" w:rsidP="00C256BE">
            <w:pPr>
              <w:widowControl/>
              <w:rPr>
                <w:rFonts w:ascii="Garamond" w:hAnsi="Garamond"/>
                <w:sz w:val="20"/>
              </w:rPr>
            </w:pPr>
            <w:r w:rsidRPr="00D63CBC">
              <w:rPr>
                <w:rFonts w:ascii="Garamond" w:hAnsi="Garamond"/>
                <w:sz w:val="20"/>
              </w:rPr>
              <w:t>Percentage of time the information on the dedicated website is accurate and correctly performs all functions listed in RFP Section 2.4 during business hours of 7AM – 6PM EST, Monday through Friday.</w:t>
            </w:r>
          </w:p>
          <w:p w14:paraId="042BD827" w14:textId="38E1D380" w:rsidR="00C256BE" w:rsidRPr="00D63CBC" w:rsidRDefault="00C256BE" w:rsidP="00C256BE">
            <w:pPr>
              <w:widowControl/>
              <w:rPr>
                <w:rFonts w:ascii="Garamond" w:hAnsi="Garamond"/>
                <w:sz w:val="20"/>
              </w:rPr>
            </w:pPr>
          </w:p>
        </w:tc>
        <w:tc>
          <w:tcPr>
            <w:tcW w:w="1170" w:type="dxa"/>
            <w:shd w:val="clear" w:color="auto" w:fill="FFFFFF" w:themeFill="background1"/>
            <w:vAlign w:val="center"/>
          </w:tcPr>
          <w:p w14:paraId="719E723C" w14:textId="41BFAB66" w:rsidR="00C256BE" w:rsidRPr="00D63CBC" w:rsidRDefault="00C256BE" w:rsidP="00C256BE">
            <w:pPr>
              <w:widowControl/>
              <w:rPr>
                <w:rFonts w:ascii="Garamond" w:hAnsi="Garamond"/>
                <w:sz w:val="20"/>
              </w:rPr>
            </w:pPr>
            <w:r w:rsidRPr="00D63CBC">
              <w:rPr>
                <w:rFonts w:ascii="Garamond" w:hAnsi="Garamond"/>
                <w:sz w:val="20"/>
              </w:rPr>
              <w:t>95%</w:t>
            </w:r>
          </w:p>
        </w:tc>
        <w:tc>
          <w:tcPr>
            <w:tcW w:w="810" w:type="dxa"/>
            <w:shd w:val="clear" w:color="auto" w:fill="FFFF99"/>
            <w:vAlign w:val="center"/>
          </w:tcPr>
          <w:p w14:paraId="3E3BF9CE" w14:textId="455D485A" w:rsidR="00C256BE" w:rsidRPr="00D63CBC" w:rsidRDefault="00C256BE" w:rsidP="00C256BE">
            <w:pPr>
              <w:widowControl/>
              <w:rPr>
                <w:rFonts w:ascii="Garamond" w:hAnsi="Garamond"/>
                <w:sz w:val="20"/>
              </w:rPr>
            </w:pPr>
            <w:r>
              <w:rPr>
                <w:rFonts w:ascii="Garamond" w:hAnsi="Garamond"/>
                <w:sz w:val="20"/>
              </w:rPr>
              <w:t>Y</w:t>
            </w:r>
          </w:p>
        </w:tc>
        <w:tc>
          <w:tcPr>
            <w:tcW w:w="4752" w:type="dxa"/>
            <w:shd w:val="clear" w:color="auto" w:fill="FFFF99"/>
            <w:vAlign w:val="center"/>
          </w:tcPr>
          <w:p w14:paraId="5A39BBE3" w14:textId="6B949599" w:rsidR="00C256BE" w:rsidRPr="00D63CBC" w:rsidRDefault="00C256BE" w:rsidP="00C256BE">
            <w:pPr>
              <w:widowControl/>
              <w:rPr>
                <w:rFonts w:ascii="Garamond" w:hAnsi="Garamond"/>
                <w:sz w:val="20"/>
              </w:rPr>
            </w:pPr>
          </w:p>
        </w:tc>
      </w:tr>
      <w:tr w:rsidR="00C256BE" w:rsidRPr="00D63CBC" w14:paraId="17532BA5" w14:textId="77777777" w:rsidTr="00E2F270">
        <w:trPr>
          <w:trHeight w:val="359"/>
        </w:trPr>
        <w:tc>
          <w:tcPr>
            <w:tcW w:w="445" w:type="dxa"/>
            <w:vAlign w:val="center"/>
          </w:tcPr>
          <w:p w14:paraId="32428999" w14:textId="4CC7304B" w:rsidR="00C256BE" w:rsidRPr="00D63CBC" w:rsidRDefault="00C256BE" w:rsidP="00C256BE">
            <w:pPr>
              <w:widowControl/>
              <w:rPr>
                <w:rFonts w:ascii="Garamond" w:hAnsi="Garamond"/>
                <w:sz w:val="20"/>
              </w:rPr>
            </w:pPr>
            <w:r w:rsidRPr="00D63CBC">
              <w:rPr>
                <w:rFonts w:ascii="Garamond" w:hAnsi="Garamond"/>
                <w:sz w:val="20"/>
              </w:rPr>
              <w:t>8</w:t>
            </w:r>
          </w:p>
        </w:tc>
        <w:tc>
          <w:tcPr>
            <w:tcW w:w="1980" w:type="dxa"/>
            <w:vAlign w:val="center"/>
          </w:tcPr>
          <w:p w14:paraId="78941E47" w14:textId="54D45AAE" w:rsidR="00C256BE" w:rsidRPr="00D63CBC" w:rsidRDefault="00C256BE" w:rsidP="00C256BE">
            <w:pPr>
              <w:widowControl/>
              <w:rPr>
                <w:rFonts w:ascii="Garamond" w:hAnsi="Garamond"/>
                <w:sz w:val="20"/>
              </w:rPr>
            </w:pPr>
            <w:r w:rsidRPr="00D63CBC">
              <w:rPr>
                <w:rFonts w:ascii="Garamond" w:hAnsi="Garamond"/>
                <w:sz w:val="20"/>
              </w:rPr>
              <w:t>Punch-Out Catalog – System “Up Time”</w:t>
            </w:r>
          </w:p>
        </w:tc>
        <w:tc>
          <w:tcPr>
            <w:tcW w:w="5040" w:type="dxa"/>
            <w:vAlign w:val="center"/>
          </w:tcPr>
          <w:p w14:paraId="19A78AEB" w14:textId="77777777" w:rsidR="00C256BE" w:rsidRPr="00D63CBC" w:rsidRDefault="00C256BE" w:rsidP="00C256BE">
            <w:pPr>
              <w:widowControl/>
              <w:rPr>
                <w:rFonts w:ascii="Garamond" w:hAnsi="Garamond"/>
                <w:bCs/>
                <w:sz w:val="20"/>
              </w:rPr>
            </w:pPr>
          </w:p>
          <w:p w14:paraId="36561B3F" w14:textId="77777777" w:rsidR="00C256BE" w:rsidRPr="00D63CBC" w:rsidRDefault="00C256BE" w:rsidP="00C256BE">
            <w:pPr>
              <w:widowControl/>
              <w:rPr>
                <w:rFonts w:ascii="Garamond" w:hAnsi="Garamond"/>
                <w:bCs/>
                <w:sz w:val="20"/>
              </w:rPr>
            </w:pPr>
            <w:r w:rsidRPr="00D63CBC">
              <w:rPr>
                <w:rFonts w:ascii="Garamond" w:hAnsi="Garamond"/>
                <w:bCs/>
                <w:sz w:val="20"/>
              </w:rPr>
              <w:t>Percentage of time the system is accessible and usable during business hours of 7AM – 6PM EST, Monday through Friday.</w:t>
            </w:r>
          </w:p>
          <w:p w14:paraId="67817B91" w14:textId="66853F39" w:rsidR="00C256BE" w:rsidRPr="00D63CBC" w:rsidRDefault="00C256BE" w:rsidP="00C256BE">
            <w:pPr>
              <w:widowControl/>
              <w:rPr>
                <w:rFonts w:ascii="Garamond" w:hAnsi="Garamond"/>
                <w:bCs/>
                <w:sz w:val="20"/>
              </w:rPr>
            </w:pPr>
          </w:p>
        </w:tc>
        <w:tc>
          <w:tcPr>
            <w:tcW w:w="1170" w:type="dxa"/>
            <w:shd w:val="clear" w:color="auto" w:fill="FFFFFF" w:themeFill="background1"/>
            <w:vAlign w:val="center"/>
          </w:tcPr>
          <w:p w14:paraId="7238C65D" w14:textId="20D76705" w:rsidR="00C256BE" w:rsidRPr="00D63CBC" w:rsidRDefault="00C256BE" w:rsidP="00C256BE">
            <w:pPr>
              <w:widowControl/>
              <w:rPr>
                <w:rFonts w:ascii="Garamond" w:hAnsi="Garamond"/>
                <w:sz w:val="20"/>
              </w:rPr>
            </w:pPr>
            <w:r w:rsidRPr="00D63CBC">
              <w:rPr>
                <w:rFonts w:ascii="Garamond" w:hAnsi="Garamond"/>
                <w:sz w:val="20"/>
              </w:rPr>
              <w:t>99%</w:t>
            </w:r>
          </w:p>
        </w:tc>
        <w:tc>
          <w:tcPr>
            <w:tcW w:w="810" w:type="dxa"/>
            <w:shd w:val="clear" w:color="auto" w:fill="FFFF99"/>
            <w:vAlign w:val="center"/>
          </w:tcPr>
          <w:p w14:paraId="63974842" w14:textId="55B687FE" w:rsidR="00C256BE" w:rsidRPr="00D63CBC" w:rsidRDefault="00CC58FB" w:rsidP="00C256BE">
            <w:pPr>
              <w:widowControl/>
              <w:rPr>
                <w:rFonts w:ascii="Garamond" w:hAnsi="Garamond"/>
                <w:sz w:val="20"/>
              </w:rPr>
            </w:pPr>
            <w:r>
              <w:rPr>
                <w:rFonts w:ascii="Garamond" w:hAnsi="Garamond"/>
                <w:sz w:val="20"/>
              </w:rPr>
              <w:t>Y</w:t>
            </w:r>
          </w:p>
        </w:tc>
        <w:tc>
          <w:tcPr>
            <w:tcW w:w="4752" w:type="dxa"/>
            <w:shd w:val="clear" w:color="auto" w:fill="FFFF99"/>
            <w:vAlign w:val="center"/>
          </w:tcPr>
          <w:p w14:paraId="41C8F396" w14:textId="1DEB3685" w:rsidR="00C256BE" w:rsidRPr="00D63CBC" w:rsidRDefault="00C256BE" w:rsidP="00C256BE">
            <w:pPr>
              <w:widowControl/>
              <w:rPr>
                <w:rFonts w:ascii="Garamond" w:hAnsi="Garamond"/>
                <w:sz w:val="20"/>
              </w:rPr>
            </w:pPr>
          </w:p>
        </w:tc>
      </w:tr>
      <w:tr w:rsidR="00C256BE" w:rsidRPr="00D63CBC" w14:paraId="4CCDC634" w14:textId="77777777" w:rsidTr="00E2F270">
        <w:trPr>
          <w:trHeight w:val="58"/>
        </w:trPr>
        <w:tc>
          <w:tcPr>
            <w:tcW w:w="445" w:type="dxa"/>
            <w:vAlign w:val="center"/>
          </w:tcPr>
          <w:p w14:paraId="0FE6E0FE" w14:textId="2AFE4076" w:rsidR="00C256BE" w:rsidRPr="00D63CBC" w:rsidRDefault="00C256BE" w:rsidP="00C256BE">
            <w:pPr>
              <w:widowControl/>
              <w:rPr>
                <w:rFonts w:ascii="Garamond" w:hAnsi="Garamond"/>
                <w:sz w:val="20"/>
              </w:rPr>
            </w:pPr>
            <w:r w:rsidRPr="00D63CBC">
              <w:rPr>
                <w:rFonts w:ascii="Garamond" w:hAnsi="Garamond"/>
                <w:sz w:val="20"/>
              </w:rPr>
              <w:t>9</w:t>
            </w:r>
          </w:p>
        </w:tc>
        <w:tc>
          <w:tcPr>
            <w:tcW w:w="1980" w:type="dxa"/>
            <w:vAlign w:val="center"/>
          </w:tcPr>
          <w:p w14:paraId="75697EEC" w14:textId="583A99B6" w:rsidR="00C256BE" w:rsidRPr="00D63CBC" w:rsidRDefault="00C256BE" w:rsidP="00C256BE">
            <w:pPr>
              <w:widowControl/>
              <w:rPr>
                <w:rFonts w:ascii="Garamond" w:hAnsi="Garamond"/>
                <w:sz w:val="20"/>
              </w:rPr>
            </w:pPr>
            <w:r w:rsidRPr="00D63CBC">
              <w:rPr>
                <w:rFonts w:ascii="Garamond" w:hAnsi="Garamond"/>
                <w:sz w:val="20"/>
              </w:rPr>
              <w:t>Punch-Out Catalog – Accuracy of Information</w:t>
            </w:r>
          </w:p>
        </w:tc>
        <w:tc>
          <w:tcPr>
            <w:tcW w:w="5040" w:type="dxa"/>
            <w:vAlign w:val="center"/>
          </w:tcPr>
          <w:p w14:paraId="227FBDF8" w14:textId="77777777" w:rsidR="00C256BE" w:rsidRPr="00D63CBC" w:rsidRDefault="00C256BE" w:rsidP="00C256BE">
            <w:pPr>
              <w:widowControl/>
              <w:rPr>
                <w:rFonts w:ascii="Garamond" w:hAnsi="Garamond"/>
                <w:sz w:val="20"/>
              </w:rPr>
            </w:pPr>
          </w:p>
          <w:p w14:paraId="20601E86" w14:textId="77777777" w:rsidR="00C256BE" w:rsidRPr="00D63CBC" w:rsidRDefault="00C256BE" w:rsidP="00C256BE">
            <w:pPr>
              <w:widowControl/>
              <w:rPr>
                <w:rFonts w:ascii="Garamond" w:hAnsi="Garamond"/>
                <w:sz w:val="20"/>
              </w:rPr>
            </w:pPr>
            <w:r w:rsidRPr="00D63CBC">
              <w:rPr>
                <w:rFonts w:ascii="Garamond" w:hAnsi="Garamond"/>
                <w:sz w:val="20"/>
              </w:rPr>
              <w:t>Percentage of time the information on the dedicated website is accurate and correctly performs all functions listed in RFP Section 2.4 during business hours of 7AM – 6PM EST, Monday through Friday.</w:t>
            </w:r>
          </w:p>
          <w:p w14:paraId="084C9AE5" w14:textId="075E3EA2" w:rsidR="00C256BE" w:rsidRPr="00D63CBC" w:rsidRDefault="00C256BE" w:rsidP="00C256BE">
            <w:pPr>
              <w:widowControl/>
              <w:rPr>
                <w:rFonts w:ascii="Garamond" w:hAnsi="Garamond"/>
                <w:sz w:val="20"/>
              </w:rPr>
            </w:pPr>
          </w:p>
        </w:tc>
        <w:tc>
          <w:tcPr>
            <w:tcW w:w="1170" w:type="dxa"/>
            <w:shd w:val="clear" w:color="auto" w:fill="FFFFFF" w:themeFill="background1"/>
            <w:vAlign w:val="center"/>
          </w:tcPr>
          <w:p w14:paraId="44E6B3DD" w14:textId="17A7CFE1" w:rsidR="00C256BE" w:rsidRPr="00D63CBC" w:rsidRDefault="00C256BE" w:rsidP="00C256BE">
            <w:pPr>
              <w:widowControl/>
              <w:rPr>
                <w:rFonts w:ascii="Garamond" w:hAnsi="Garamond"/>
                <w:sz w:val="20"/>
              </w:rPr>
            </w:pPr>
            <w:r w:rsidRPr="00D63CBC">
              <w:rPr>
                <w:rFonts w:ascii="Garamond" w:hAnsi="Garamond"/>
                <w:sz w:val="20"/>
              </w:rPr>
              <w:t>95%</w:t>
            </w:r>
          </w:p>
        </w:tc>
        <w:tc>
          <w:tcPr>
            <w:tcW w:w="810" w:type="dxa"/>
            <w:shd w:val="clear" w:color="auto" w:fill="FFFF99"/>
            <w:vAlign w:val="center"/>
          </w:tcPr>
          <w:p w14:paraId="6E383FE7" w14:textId="1B36B87E" w:rsidR="00C256BE" w:rsidRPr="00D63CBC" w:rsidRDefault="008A230E" w:rsidP="00C256BE">
            <w:pPr>
              <w:widowControl/>
              <w:rPr>
                <w:rFonts w:ascii="Garamond" w:hAnsi="Garamond"/>
                <w:sz w:val="20"/>
              </w:rPr>
            </w:pPr>
            <w:r>
              <w:rPr>
                <w:rFonts w:ascii="Garamond" w:hAnsi="Garamond"/>
                <w:sz w:val="20"/>
              </w:rPr>
              <w:t>Y</w:t>
            </w:r>
          </w:p>
        </w:tc>
        <w:tc>
          <w:tcPr>
            <w:tcW w:w="4752" w:type="dxa"/>
            <w:shd w:val="clear" w:color="auto" w:fill="FFFF99"/>
            <w:vAlign w:val="center"/>
          </w:tcPr>
          <w:p w14:paraId="0D0B940D" w14:textId="3DBBF1CE" w:rsidR="00C256BE" w:rsidRPr="00D63CBC" w:rsidRDefault="00C256BE" w:rsidP="00C256BE">
            <w:pPr>
              <w:widowControl/>
              <w:rPr>
                <w:rFonts w:ascii="Garamond" w:hAnsi="Garamond"/>
                <w:sz w:val="20"/>
              </w:rPr>
            </w:pPr>
          </w:p>
        </w:tc>
      </w:tr>
      <w:tr w:rsidR="00C256BE" w:rsidRPr="00D63CBC" w14:paraId="04041FC6" w14:textId="77777777" w:rsidTr="00E2F270">
        <w:trPr>
          <w:trHeight w:val="1048"/>
        </w:trPr>
        <w:tc>
          <w:tcPr>
            <w:tcW w:w="445" w:type="dxa"/>
            <w:vAlign w:val="center"/>
          </w:tcPr>
          <w:p w14:paraId="14F5F124" w14:textId="2615A5C4" w:rsidR="00C256BE" w:rsidRPr="00D63CBC" w:rsidRDefault="00C256BE" w:rsidP="00C256BE">
            <w:pPr>
              <w:widowControl/>
              <w:rPr>
                <w:rFonts w:ascii="Garamond" w:hAnsi="Garamond"/>
                <w:sz w:val="20"/>
              </w:rPr>
            </w:pPr>
            <w:r w:rsidRPr="00D63CBC">
              <w:rPr>
                <w:rFonts w:ascii="Garamond" w:hAnsi="Garamond"/>
                <w:sz w:val="20"/>
              </w:rPr>
              <w:t>10</w:t>
            </w:r>
          </w:p>
        </w:tc>
        <w:tc>
          <w:tcPr>
            <w:tcW w:w="1980" w:type="dxa"/>
            <w:vAlign w:val="center"/>
          </w:tcPr>
          <w:p w14:paraId="44B0A208" w14:textId="03DFE1BD" w:rsidR="00C256BE" w:rsidRPr="00D63CBC" w:rsidRDefault="00C256BE" w:rsidP="00C256BE">
            <w:pPr>
              <w:widowControl/>
              <w:rPr>
                <w:rFonts w:ascii="Garamond" w:hAnsi="Garamond"/>
                <w:sz w:val="20"/>
              </w:rPr>
            </w:pPr>
            <w:r w:rsidRPr="00D63CBC">
              <w:rPr>
                <w:rFonts w:ascii="Garamond" w:hAnsi="Garamond"/>
                <w:sz w:val="20"/>
              </w:rPr>
              <w:t>Quote Responsiveness</w:t>
            </w:r>
          </w:p>
        </w:tc>
        <w:tc>
          <w:tcPr>
            <w:tcW w:w="5040" w:type="dxa"/>
            <w:vAlign w:val="center"/>
          </w:tcPr>
          <w:p w14:paraId="479E8CE3" w14:textId="4FAF6486" w:rsidR="00C256BE" w:rsidRPr="00D63CBC" w:rsidRDefault="00C256BE" w:rsidP="00C256BE">
            <w:pPr>
              <w:widowControl/>
              <w:rPr>
                <w:rFonts w:ascii="Garamond" w:hAnsi="Garamond"/>
                <w:sz w:val="20"/>
              </w:rPr>
            </w:pPr>
            <w:r w:rsidRPr="00D63CBC">
              <w:rPr>
                <w:rFonts w:ascii="Garamond" w:hAnsi="Garamond"/>
                <w:sz w:val="20"/>
              </w:rPr>
              <w:t>Calculation of time for Contractor to provide a quote (outside the dedicated website) from time the quote request is received by Contractor.</w:t>
            </w:r>
          </w:p>
        </w:tc>
        <w:tc>
          <w:tcPr>
            <w:tcW w:w="1170" w:type="dxa"/>
            <w:shd w:val="clear" w:color="auto" w:fill="FFFFFF" w:themeFill="background1"/>
            <w:vAlign w:val="center"/>
          </w:tcPr>
          <w:p w14:paraId="45686599" w14:textId="3CF474ED" w:rsidR="00C256BE" w:rsidRPr="00D63CBC" w:rsidRDefault="00C256BE" w:rsidP="00C256BE">
            <w:pPr>
              <w:widowControl/>
              <w:rPr>
                <w:rFonts w:ascii="Garamond" w:hAnsi="Garamond"/>
                <w:sz w:val="20"/>
              </w:rPr>
            </w:pPr>
            <w:r w:rsidRPr="00D63CBC">
              <w:rPr>
                <w:rFonts w:ascii="Garamond" w:hAnsi="Garamond"/>
                <w:sz w:val="20"/>
              </w:rPr>
              <w:t>Twenty-four hours</w:t>
            </w:r>
          </w:p>
        </w:tc>
        <w:tc>
          <w:tcPr>
            <w:tcW w:w="810" w:type="dxa"/>
            <w:shd w:val="clear" w:color="auto" w:fill="FFFF99"/>
            <w:vAlign w:val="center"/>
          </w:tcPr>
          <w:p w14:paraId="1D592134" w14:textId="1D508B73" w:rsidR="00C256BE" w:rsidRPr="00D63CBC" w:rsidRDefault="008A230E" w:rsidP="00C256BE">
            <w:pPr>
              <w:widowControl/>
              <w:rPr>
                <w:rFonts w:ascii="Garamond" w:hAnsi="Garamond"/>
                <w:sz w:val="20"/>
              </w:rPr>
            </w:pPr>
            <w:r>
              <w:rPr>
                <w:rFonts w:ascii="Garamond" w:hAnsi="Garamond"/>
                <w:sz w:val="20"/>
              </w:rPr>
              <w:t>Y</w:t>
            </w:r>
          </w:p>
        </w:tc>
        <w:tc>
          <w:tcPr>
            <w:tcW w:w="4752" w:type="dxa"/>
            <w:shd w:val="clear" w:color="auto" w:fill="FFFF99"/>
            <w:vAlign w:val="center"/>
          </w:tcPr>
          <w:p w14:paraId="0E27B00A" w14:textId="7EF87979" w:rsidR="00C256BE" w:rsidRPr="00D63CBC" w:rsidRDefault="00C256BE" w:rsidP="00C256BE">
            <w:pPr>
              <w:widowControl/>
              <w:rPr>
                <w:rFonts w:ascii="Garamond" w:hAnsi="Garamond"/>
                <w:sz w:val="20"/>
              </w:rPr>
            </w:pPr>
          </w:p>
        </w:tc>
      </w:tr>
      <w:tr w:rsidR="00C256BE" w:rsidRPr="00D63CBC" w14:paraId="498854B3" w14:textId="77777777" w:rsidTr="00E2F270">
        <w:trPr>
          <w:trHeight w:val="1048"/>
        </w:trPr>
        <w:tc>
          <w:tcPr>
            <w:tcW w:w="445" w:type="dxa"/>
            <w:vAlign w:val="center"/>
          </w:tcPr>
          <w:p w14:paraId="07C8421C" w14:textId="298AC25C" w:rsidR="00C256BE" w:rsidRPr="00D63CBC" w:rsidRDefault="00C256BE" w:rsidP="00C256BE">
            <w:pPr>
              <w:widowControl/>
              <w:rPr>
                <w:rFonts w:ascii="Garamond" w:hAnsi="Garamond"/>
                <w:sz w:val="20"/>
              </w:rPr>
            </w:pPr>
            <w:r w:rsidRPr="00D63CBC">
              <w:rPr>
                <w:rFonts w:ascii="Garamond" w:hAnsi="Garamond"/>
                <w:sz w:val="20"/>
              </w:rPr>
              <w:t>11</w:t>
            </w:r>
          </w:p>
        </w:tc>
        <w:tc>
          <w:tcPr>
            <w:tcW w:w="1980" w:type="dxa"/>
            <w:vAlign w:val="center"/>
          </w:tcPr>
          <w:p w14:paraId="289CF142" w14:textId="77777777" w:rsidR="00C256BE" w:rsidRPr="00D63CBC" w:rsidRDefault="00C256BE" w:rsidP="00C256BE">
            <w:pPr>
              <w:widowControl/>
              <w:rPr>
                <w:rFonts w:ascii="Garamond" w:hAnsi="Garamond"/>
                <w:sz w:val="20"/>
              </w:rPr>
            </w:pPr>
            <w:r w:rsidRPr="00D63CBC">
              <w:rPr>
                <w:rFonts w:ascii="Garamond" w:hAnsi="Garamond"/>
                <w:sz w:val="20"/>
              </w:rPr>
              <w:t>Invoice – Accuracy and Timeliness</w:t>
            </w:r>
          </w:p>
        </w:tc>
        <w:tc>
          <w:tcPr>
            <w:tcW w:w="5040" w:type="dxa"/>
            <w:vAlign w:val="center"/>
          </w:tcPr>
          <w:p w14:paraId="27E03696" w14:textId="73C3658A" w:rsidR="00C256BE" w:rsidRPr="00D63CBC" w:rsidRDefault="00C256BE" w:rsidP="00C256BE">
            <w:pPr>
              <w:rPr>
                <w:rFonts w:ascii="Garamond" w:hAnsi="Garamond"/>
                <w:sz w:val="20"/>
              </w:rPr>
            </w:pPr>
            <w:r w:rsidRPr="00D63CBC">
              <w:rPr>
                <w:rFonts w:ascii="Garamond" w:hAnsi="Garamond"/>
                <w:sz w:val="20"/>
              </w:rPr>
              <w:t>Contractor shall submit error-free invoices (per the purchase order instructions) within five business days of product delivery.</w:t>
            </w:r>
          </w:p>
        </w:tc>
        <w:tc>
          <w:tcPr>
            <w:tcW w:w="1170" w:type="dxa"/>
            <w:shd w:val="clear" w:color="auto" w:fill="FFFFFF" w:themeFill="background1"/>
            <w:vAlign w:val="center"/>
          </w:tcPr>
          <w:p w14:paraId="5F9AE884" w14:textId="77777777" w:rsidR="00C256BE" w:rsidRPr="00D63CBC" w:rsidRDefault="00C256BE" w:rsidP="00C256BE">
            <w:pPr>
              <w:widowControl/>
              <w:rPr>
                <w:rFonts w:ascii="Garamond" w:hAnsi="Garamond"/>
                <w:sz w:val="20"/>
              </w:rPr>
            </w:pPr>
            <w:r w:rsidRPr="00D63CBC">
              <w:rPr>
                <w:rFonts w:ascii="Garamond" w:hAnsi="Garamond"/>
                <w:sz w:val="20"/>
              </w:rPr>
              <w:t>99%</w:t>
            </w:r>
          </w:p>
        </w:tc>
        <w:tc>
          <w:tcPr>
            <w:tcW w:w="810" w:type="dxa"/>
            <w:shd w:val="clear" w:color="auto" w:fill="FFFF99"/>
            <w:vAlign w:val="center"/>
          </w:tcPr>
          <w:p w14:paraId="54D6E97E" w14:textId="36026DCE" w:rsidR="00C256BE" w:rsidRPr="00D63CBC" w:rsidRDefault="008A230E" w:rsidP="00C256BE">
            <w:pPr>
              <w:widowControl/>
              <w:rPr>
                <w:rFonts w:ascii="Garamond" w:hAnsi="Garamond"/>
                <w:sz w:val="20"/>
              </w:rPr>
            </w:pPr>
            <w:r>
              <w:rPr>
                <w:rFonts w:ascii="Garamond" w:hAnsi="Garamond"/>
                <w:sz w:val="20"/>
              </w:rPr>
              <w:t>Y</w:t>
            </w:r>
          </w:p>
        </w:tc>
        <w:tc>
          <w:tcPr>
            <w:tcW w:w="4752" w:type="dxa"/>
            <w:shd w:val="clear" w:color="auto" w:fill="FFFF99"/>
            <w:vAlign w:val="center"/>
          </w:tcPr>
          <w:p w14:paraId="53C862EF" w14:textId="77777777" w:rsidR="00C256BE" w:rsidRPr="00D63CBC" w:rsidRDefault="00C256BE" w:rsidP="00C256BE">
            <w:pPr>
              <w:widowControl/>
              <w:rPr>
                <w:rFonts w:ascii="Garamond" w:hAnsi="Garamond"/>
                <w:sz w:val="20"/>
              </w:rPr>
            </w:pPr>
          </w:p>
        </w:tc>
      </w:tr>
      <w:tr w:rsidR="00C256BE" w:rsidRPr="00D63CBC" w14:paraId="19B04A89" w14:textId="77777777" w:rsidTr="00E2F270">
        <w:trPr>
          <w:trHeight w:val="1048"/>
        </w:trPr>
        <w:tc>
          <w:tcPr>
            <w:tcW w:w="445" w:type="dxa"/>
            <w:vAlign w:val="center"/>
          </w:tcPr>
          <w:p w14:paraId="78B35A17" w14:textId="14932928" w:rsidR="00C256BE" w:rsidRPr="00D63CBC" w:rsidRDefault="00C256BE" w:rsidP="00C256BE">
            <w:pPr>
              <w:widowControl/>
              <w:rPr>
                <w:rFonts w:ascii="Garamond" w:hAnsi="Garamond"/>
                <w:sz w:val="20"/>
              </w:rPr>
            </w:pPr>
            <w:r w:rsidRPr="00D63CBC">
              <w:rPr>
                <w:rFonts w:ascii="Garamond" w:hAnsi="Garamond"/>
                <w:sz w:val="20"/>
              </w:rPr>
              <w:t>12</w:t>
            </w:r>
          </w:p>
        </w:tc>
        <w:tc>
          <w:tcPr>
            <w:tcW w:w="1980" w:type="dxa"/>
            <w:vAlign w:val="center"/>
          </w:tcPr>
          <w:p w14:paraId="2E79B581" w14:textId="52400FFB" w:rsidR="00C256BE" w:rsidRPr="00D63CBC" w:rsidRDefault="00C256BE" w:rsidP="00C256BE">
            <w:pPr>
              <w:widowControl/>
              <w:rPr>
                <w:rFonts w:ascii="Garamond" w:hAnsi="Garamond"/>
                <w:sz w:val="20"/>
              </w:rPr>
            </w:pPr>
            <w:r w:rsidRPr="00D63CBC">
              <w:rPr>
                <w:rFonts w:ascii="Garamond" w:hAnsi="Garamond"/>
                <w:sz w:val="20"/>
              </w:rPr>
              <w:t>Report Turnaround – Quarterly Spend Report</w:t>
            </w:r>
          </w:p>
        </w:tc>
        <w:tc>
          <w:tcPr>
            <w:tcW w:w="5040" w:type="dxa"/>
            <w:vAlign w:val="center"/>
          </w:tcPr>
          <w:p w14:paraId="0E34D362" w14:textId="436B7EAF" w:rsidR="00C256BE" w:rsidRPr="00D63CBC" w:rsidRDefault="00C256BE" w:rsidP="00C256BE">
            <w:pPr>
              <w:rPr>
                <w:rFonts w:ascii="Garamond" w:hAnsi="Garamond"/>
                <w:sz w:val="20"/>
              </w:rPr>
            </w:pPr>
            <w:r w:rsidRPr="00D63CBC">
              <w:rPr>
                <w:rFonts w:ascii="Garamond" w:hAnsi="Garamond"/>
                <w:sz w:val="20"/>
              </w:rPr>
              <w:t>Calculation of report due date from last date of quarter to when report is received by the State.</w:t>
            </w:r>
          </w:p>
        </w:tc>
        <w:tc>
          <w:tcPr>
            <w:tcW w:w="1170" w:type="dxa"/>
            <w:shd w:val="clear" w:color="auto" w:fill="FFFFFF" w:themeFill="background1"/>
            <w:vAlign w:val="center"/>
          </w:tcPr>
          <w:p w14:paraId="35705EEA" w14:textId="7FF5753F" w:rsidR="00C256BE" w:rsidRPr="00D63CBC" w:rsidRDefault="00C256BE" w:rsidP="00C256BE">
            <w:pPr>
              <w:widowControl/>
              <w:rPr>
                <w:rFonts w:ascii="Garamond" w:hAnsi="Garamond"/>
                <w:sz w:val="20"/>
              </w:rPr>
            </w:pPr>
            <w:r w:rsidRPr="00D63CBC">
              <w:rPr>
                <w:rFonts w:ascii="Garamond" w:hAnsi="Garamond"/>
                <w:sz w:val="20"/>
              </w:rPr>
              <w:t>Ten business days</w:t>
            </w:r>
          </w:p>
        </w:tc>
        <w:tc>
          <w:tcPr>
            <w:tcW w:w="810" w:type="dxa"/>
            <w:shd w:val="clear" w:color="auto" w:fill="FFFF99"/>
            <w:vAlign w:val="center"/>
          </w:tcPr>
          <w:p w14:paraId="74564E48" w14:textId="163B4610" w:rsidR="00C256BE" w:rsidRPr="00D63CBC" w:rsidRDefault="008A230E" w:rsidP="00C256BE">
            <w:pPr>
              <w:widowControl/>
              <w:rPr>
                <w:rFonts w:ascii="Garamond" w:hAnsi="Garamond"/>
                <w:sz w:val="20"/>
              </w:rPr>
            </w:pPr>
            <w:r>
              <w:rPr>
                <w:rFonts w:ascii="Garamond" w:hAnsi="Garamond"/>
                <w:sz w:val="20"/>
              </w:rPr>
              <w:t>Y</w:t>
            </w:r>
          </w:p>
        </w:tc>
        <w:tc>
          <w:tcPr>
            <w:tcW w:w="4752" w:type="dxa"/>
            <w:shd w:val="clear" w:color="auto" w:fill="FFFF99"/>
            <w:vAlign w:val="center"/>
          </w:tcPr>
          <w:p w14:paraId="1B9E0EF3" w14:textId="7F5B804F" w:rsidR="00C256BE" w:rsidRPr="00D63CBC" w:rsidRDefault="00C256BE" w:rsidP="00C256BE">
            <w:pPr>
              <w:widowControl/>
              <w:rPr>
                <w:rFonts w:ascii="Garamond" w:hAnsi="Garamond"/>
                <w:sz w:val="20"/>
              </w:rPr>
            </w:pPr>
          </w:p>
        </w:tc>
      </w:tr>
      <w:tr w:rsidR="00C256BE" w:rsidRPr="00D63CBC" w14:paraId="3D498277" w14:textId="77777777" w:rsidTr="00E2F270">
        <w:trPr>
          <w:trHeight w:val="1048"/>
        </w:trPr>
        <w:tc>
          <w:tcPr>
            <w:tcW w:w="445" w:type="dxa"/>
            <w:vAlign w:val="center"/>
          </w:tcPr>
          <w:p w14:paraId="40F9008D" w14:textId="1C056E8A" w:rsidR="00C256BE" w:rsidRPr="00D63CBC" w:rsidRDefault="00C256BE" w:rsidP="00C256BE">
            <w:pPr>
              <w:widowControl/>
              <w:rPr>
                <w:rFonts w:ascii="Garamond" w:hAnsi="Garamond"/>
                <w:sz w:val="20"/>
              </w:rPr>
            </w:pPr>
            <w:r w:rsidRPr="00D63CBC">
              <w:rPr>
                <w:rFonts w:ascii="Garamond" w:hAnsi="Garamond"/>
                <w:sz w:val="20"/>
              </w:rPr>
              <w:t>13</w:t>
            </w:r>
          </w:p>
        </w:tc>
        <w:tc>
          <w:tcPr>
            <w:tcW w:w="1980" w:type="dxa"/>
            <w:vAlign w:val="center"/>
          </w:tcPr>
          <w:p w14:paraId="2B2B7304" w14:textId="4692FCA6" w:rsidR="00C256BE" w:rsidRPr="00D63CBC" w:rsidRDefault="00C256BE" w:rsidP="00C256BE">
            <w:pPr>
              <w:widowControl/>
              <w:rPr>
                <w:rFonts w:ascii="Garamond" w:hAnsi="Garamond"/>
                <w:sz w:val="20"/>
              </w:rPr>
            </w:pPr>
            <w:r w:rsidRPr="00D63CBC">
              <w:rPr>
                <w:rFonts w:ascii="Garamond" w:hAnsi="Garamond"/>
                <w:sz w:val="20"/>
              </w:rPr>
              <w:t>Report Turnaround – Ad hoc Report</w:t>
            </w:r>
          </w:p>
        </w:tc>
        <w:tc>
          <w:tcPr>
            <w:tcW w:w="5040" w:type="dxa"/>
            <w:vAlign w:val="center"/>
          </w:tcPr>
          <w:p w14:paraId="199CE7AA" w14:textId="6351027C" w:rsidR="00C256BE" w:rsidRPr="00D63CBC" w:rsidRDefault="00C256BE" w:rsidP="00C256BE">
            <w:pPr>
              <w:rPr>
                <w:rFonts w:ascii="Garamond" w:hAnsi="Garamond"/>
                <w:sz w:val="20"/>
              </w:rPr>
            </w:pPr>
            <w:r w:rsidRPr="00D63CBC">
              <w:rPr>
                <w:rFonts w:ascii="Garamond" w:hAnsi="Garamond"/>
                <w:sz w:val="20"/>
              </w:rPr>
              <w:t>Calculation of report due date from request received by Contractor, unless the parties agree to a longer response period.</w:t>
            </w:r>
          </w:p>
        </w:tc>
        <w:tc>
          <w:tcPr>
            <w:tcW w:w="1170" w:type="dxa"/>
            <w:shd w:val="clear" w:color="auto" w:fill="FFFFFF" w:themeFill="background1"/>
            <w:vAlign w:val="center"/>
          </w:tcPr>
          <w:p w14:paraId="25E3492F" w14:textId="6F143618" w:rsidR="00C256BE" w:rsidRPr="00D63CBC" w:rsidRDefault="00C256BE" w:rsidP="00C256BE">
            <w:pPr>
              <w:widowControl/>
              <w:rPr>
                <w:rFonts w:ascii="Garamond" w:hAnsi="Garamond"/>
                <w:sz w:val="20"/>
              </w:rPr>
            </w:pPr>
            <w:r w:rsidRPr="00D63CBC">
              <w:rPr>
                <w:rFonts w:ascii="Garamond" w:hAnsi="Garamond"/>
                <w:sz w:val="20"/>
              </w:rPr>
              <w:t>Fifteen business days</w:t>
            </w:r>
          </w:p>
        </w:tc>
        <w:tc>
          <w:tcPr>
            <w:tcW w:w="810" w:type="dxa"/>
            <w:shd w:val="clear" w:color="auto" w:fill="FFFF99"/>
            <w:vAlign w:val="center"/>
          </w:tcPr>
          <w:p w14:paraId="442DDCBE" w14:textId="505233D0" w:rsidR="00C256BE" w:rsidRPr="00D63CBC" w:rsidRDefault="00996AB1" w:rsidP="00C256BE">
            <w:pPr>
              <w:widowControl/>
              <w:rPr>
                <w:rFonts w:ascii="Garamond" w:hAnsi="Garamond"/>
                <w:sz w:val="20"/>
              </w:rPr>
            </w:pPr>
            <w:r>
              <w:rPr>
                <w:rFonts w:ascii="Garamond" w:hAnsi="Garamond"/>
                <w:sz w:val="20"/>
              </w:rPr>
              <w:t>Y</w:t>
            </w:r>
          </w:p>
        </w:tc>
        <w:tc>
          <w:tcPr>
            <w:tcW w:w="4752" w:type="dxa"/>
            <w:shd w:val="clear" w:color="auto" w:fill="FFFF99"/>
            <w:vAlign w:val="center"/>
          </w:tcPr>
          <w:p w14:paraId="60061E4C" w14:textId="08E13EAB" w:rsidR="00C256BE" w:rsidRPr="00D63CBC" w:rsidRDefault="00C256BE" w:rsidP="00C256BE">
            <w:pPr>
              <w:widowControl/>
              <w:rPr>
                <w:rFonts w:ascii="Garamond" w:hAnsi="Garamond"/>
                <w:sz w:val="20"/>
              </w:rPr>
            </w:pPr>
          </w:p>
        </w:tc>
      </w:tr>
      <w:tr w:rsidR="00C256BE" w:rsidRPr="00D63CBC" w14:paraId="6C4D48C2" w14:textId="77777777" w:rsidTr="00E2F270">
        <w:trPr>
          <w:trHeight w:val="1048"/>
        </w:trPr>
        <w:tc>
          <w:tcPr>
            <w:tcW w:w="445" w:type="dxa"/>
            <w:vAlign w:val="center"/>
          </w:tcPr>
          <w:p w14:paraId="77C2C395" w14:textId="7EF5CF69" w:rsidR="00C256BE" w:rsidRPr="00D63CBC" w:rsidRDefault="00C256BE" w:rsidP="00C256BE">
            <w:pPr>
              <w:widowControl/>
              <w:rPr>
                <w:rFonts w:ascii="Garamond" w:hAnsi="Garamond"/>
                <w:sz w:val="20"/>
              </w:rPr>
            </w:pPr>
            <w:r w:rsidRPr="00D63CBC">
              <w:rPr>
                <w:rFonts w:ascii="Garamond" w:hAnsi="Garamond"/>
                <w:sz w:val="20"/>
              </w:rPr>
              <w:t>14</w:t>
            </w:r>
          </w:p>
        </w:tc>
        <w:tc>
          <w:tcPr>
            <w:tcW w:w="1980" w:type="dxa"/>
            <w:vAlign w:val="center"/>
          </w:tcPr>
          <w:p w14:paraId="05D615D5" w14:textId="14256B3A" w:rsidR="00C256BE" w:rsidRPr="00D63CBC" w:rsidRDefault="00C256BE" w:rsidP="00C256BE">
            <w:pPr>
              <w:widowControl/>
              <w:rPr>
                <w:rFonts w:ascii="Garamond" w:hAnsi="Garamond"/>
                <w:sz w:val="20"/>
              </w:rPr>
            </w:pPr>
            <w:r w:rsidRPr="00D63CBC">
              <w:rPr>
                <w:rFonts w:ascii="Garamond" w:hAnsi="Garamond"/>
                <w:sz w:val="20"/>
              </w:rPr>
              <w:t>Response Time</w:t>
            </w:r>
          </w:p>
        </w:tc>
        <w:tc>
          <w:tcPr>
            <w:tcW w:w="5040" w:type="dxa"/>
            <w:vAlign w:val="center"/>
          </w:tcPr>
          <w:p w14:paraId="011032AC" w14:textId="675B0844" w:rsidR="00C256BE" w:rsidRPr="00D63CBC" w:rsidRDefault="00C256BE" w:rsidP="00C256BE">
            <w:pPr>
              <w:rPr>
                <w:rFonts w:ascii="Garamond" w:hAnsi="Garamond"/>
                <w:sz w:val="20"/>
              </w:rPr>
            </w:pPr>
            <w:r w:rsidRPr="00D63CBC">
              <w:rPr>
                <w:rFonts w:ascii="Garamond" w:hAnsi="Garamond"/>
                <w:sz w:val="20"/>
              </w:rPr>
              <w:t>Contractor shall respond to all communications no later than next business day.</w:t>
            </w:r>
          </w:p>
        </w:tc>
        <w:tc>
          <w:tcPr>
            <w:tcW w:w="1170" w:type="dxa"/>
            <w:shd w:val="clear" w:color="auto" w:fill="FFFFFF" w:themeFill="background1"/>
            <w:vAlign w:val="center"/>
          </w:tcPr>
          <w:p w14:paraId="65749CFD" w14:textId="71E2F824" w:rsidR="00C256BE" w:rsidRPr="00D63CBC" w:rsidRDefault="00C256BE" w:rsidP="00C256BE">
            <w:pPr>
              <w:widowControl/>
              <w:rPr>
                <w:rFonts w:ascii="Garamond" w:hAnsi="Garamond"/>
                <w:sz w:val="20"/>
              </w:rPr>
            </w:pPr>
            <w:r w:rsidRPr="00D63CBC">
              <w:rPr>
                <w:rFonts w:ascii="Garamond" w:hAnsi="Garamond"/>
                <w:sz w:val="20"/>
              </w:rPr>
              <w:t>Next business day</w:t>
            </w:r>
          </w:p>
        </w:tc>
        <w:tc>
          <w:tcPr>
            <w:tcW w:w="810" w:type="dxa"/>
            <w:shd w:val="clear" w:color="auto" w:fill="FFFF99"/>
            <w:vAlign w:val="center"/>
          </w:tcPr>
          <w:p w14:paraId="45B79211" w14:textId="7C9A9B02" w:rsidR="00C256BE" w:rsidRPr="00D63CBC" w:rsidRDefault="00996AB1" w:rsidP="00C256BE">
            <w:pPr>
              <w:widowControl/>
              <w:rPr>
                <w:rFonts w:ascii="Garamond" w:hAnsi="Garamond"/>
                <w:sz w:val="20"/>
              </w:rPr>
            </w:pPr>
            <w:r>
              <w:rPr>
                <w:rFonts w:ascii="Garamond" w:hAnsi="Garamond"/>
                <w:sz w:val="20"/>
              </w:rPr>
              <w:t>Y</w:t>
            </w:r>
          </w:p>
        </w:tc>
        <w:tc>
          <w:tcPr>
            <w:tcW w:w="4752" w:type="dxa"/>
            <w:shd w:val="clear" w:color="auto" w:fill="FFFF99"/>
            <w:vAlign w:val="center"/>
          </w:tcPr>
          <w:p w14:paraId="2E6B7AA8" w14:textId="77777777" w:rsidR="00C256BE" w:rsidRPr="00D63CBC" w:rsidRDefault="00C256BE" w:rsidP="00C256BE">
            <w:pPr>
              <w:widowControl/>
              <w:rPr>
                <w:rFonts w:ascii="Garamond" w:hAnsi="Garamond"/>
                <w:sz w:val="20"/>
              </w:rPr>
            </w:pPr>
          </w:p>
        </w:tc>
      </w:tr>
    </w:tbl>
    <w:p w14:paraId="049F31CB" w14:textId="77777777" w:rsidR="00387C6F" w:rsidRPr="00D63CBC" w:rsidRDefault="00387C6F" w:rsidP="00DB377B">
      <w:pPr>
        <w:rPr>
          <w:rFonts w:ascii="Garamond" w:hAnsi="Garamond"/>
          <w:sz w:val="20"/>
        </w:rPr>
      </w:pPr>
    </w:p>
    <w:sectPr w:rsidR="00387C6F" w:rsidRPr="00D63CBC" w:rsidSect="00CC5F3A">
      <w:headerReference w:type="default" r:id="rId10"/>
      <w:footerReference w:type="default" r:id="rId11"/>
      <w:pgSz w:w="15840" w:h="12240" w:orient="landscape"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5D644B" w14:textId="77777777" w:rsidR="00064340" w:rsidRDefault="00064340" w:rsidP="0068685C">
      <w:r>
        <w:separator/>
      </w:r>
    </w:p>
  </w:endnote>
  <w:endnote w:type="continuationSeparator" w:id="0">
    <w:p w14:paraId="7844E6EF" w14:textId="77777777" w:rsidR="00064340" w:rsidRDefault="00064340" w:rsidP="0068685C">
      <w:r>
        <w:continuationSeparator/>
      </w:r>
    </w:p>
  </w:endnote>
  <w:endnote w:type="continuationNotice" w:id="1">
    <w:p w14:paraId="15EFE980" w14:textId="77777777" w:rsidR="00A866CF" w:rsidRDefault="00A866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altName w:val="Cambria"/>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4359422"/>
      <w:docPartObj>
        <w:docPartGallery w:val="Page Numbers (Bottom of Page)"/>
        <w:docPartUnique/>
      </w:docPartObj>
    </w:sdtPr>
    <w:sdtEndPr>
      <w:rPr>
        <w:noProof/>
      </w:rPr>
    </w:sdtEndPr>
    <w:sdtContent>
      <w:p w14:paraId="4342D894" w14:textId="7A06788C" w:rsidR="00B6364B" w:rsidRDefault="00B6364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3128261" w14:textId="77777777" w:rsidR="00313FE2" w:rsidRDefault="00313F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0C81EA" w14:textId="77777777" w:rsidR="00064340" w:rsidRDefault="00064340" w:rsidP="0068685C">
      <w:r>
        <w:separator/>
      </w:r>
    </w:p>
  </w:footnote>
  <w:footnote w:type="continuationSeparator" w:id="0">
    <w:p w14:paraId="145A644C" w14:textId="77777777" w:rsidR="00064340" w:rsidRDefault="00064340" w:rsidP="0068685C">
      <w:r>
        <w:continuationSeparator/>
      </w:r>
    </w:p>
  </w:footnote>
  <w:footnote w:type="continuationNotice" w:id="1">
    <w:p w14:paraId="0193B92A" w14:textId="77777777" w:rsidR="00A866CF" w:rsidRDefault="00A866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82662A" w14:textId="7EAD1588" w:rsidR="00DB377B" w:rsidRDefault="00DB377B" w:rsidP="00DB377B">
    <w:pPr>
      <w:pStyle w:val="Header"/>
      <w:tabs>
        <w:tab w:val="clear" w:pos="4680"/>
        <w:tab w:val="clear" w:pos="9360"/>
        <w:tab w:val="left" w:pos="5782"/>
      </w:tabs>
    </w:pPr>
    <w:r w:rsidRPr="00D236C2">
      <w:rPr>
        <w:rFonts w:ascii="Times New Roman" w:hAnsi="Times New Roman"/>
        <w:noProof/>
        <w:sz w:val="20"/>
      </w:rPr>
      <mc:AlternateContent>
        <mc:Choice Requires="wps">
          <w:drawing>
            <wp:anchor distT="45720" distB="45720" distL="114300" distR="114300" simplePos="0" relativeHeight="251658240" behindDoc="0" locked="0" layoutInCell="1" allowOverlap="1" wp14:anchorId="16D9963B" wp14:editId="441C91F3">
              <wp:simplePos x="0" y="0"/>
              <wp:positionH relativeFrom="column">
                <wp:posOffset>1933575</wp:posOffset>
              </wp:positionH>
              <wp:positionV relativeFrom="paragraph">
                <wp:posOffset>171450</wp:posOffset>
              </wp:positionV>
              <wp:extent cx="5372100" cy="6667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666750"/>
                      </a:xfrm>
                      <a:prstGeom prst="rect">
                        <a:avLst/>
                      </a:prstGeom>
                      <a:solidFill>
                        <a:srgbClr val="FFFFFF"/>
                      </a:solidFill>
                      <a:ln w="9525">
                        <a:noFill/>
                        <a:miter lim="800000"/>
                        <a:headEnd/>
                        <a:tailEnd/>
                      </a:ln>
                    </wps:spPr>
                    <wps:txbx>
                      <w:txbxContent>
                        <w:p w14:paraId="14E0AF45" w14:textId="18233D93" w:rsidR="00134495" w:rsidRPr="00D236C2" w:rsidRDefault="00DB377B" w:rsidP="00134495">
                          <w:pPr>
                            <w:rPr>
                              <w:rFonts w:ascii="Times New Roman" w:hAnsi="Times New Roman"/>
                              <w:sz w:val="20"/>
                            </w:rPr>
                          </w:pPr>
                          <w:r w:rsidRPr="00FD64B2">
                            <w:rPr>
                              <w:rFonts w:ascii="Times New Roman" w:hAnsi="Times New Roman"/>
                              <w:b/>
                            </w:rPr>
                            <w:t>RFP</w:t>
                          </w:r>
                          <w:r w:rsidR="00B6364B">
                            <w:rPr>
                              <w:rFonts w:ascii="Times New Roman" w:hAnsi="Times New Roman"/>
                              <w:b/>
                            </w:rPr>
                            <w:t xml:space="preserve"> #0000000748</w:t>
                          </w:r>
                          <w:r w:rsidRPr="006E5FBF">
                            <w:rPr>
                              <w:rFonts w:ascii="Times New Roman" w:hAnsi="Times New Roman"/>
                              <w:b/>
                            </w:rPr>
                            <w:t xml:space="preserve"> –</w:t>
                          </w:r>
                          <w:r>
                            <w:rPr>
                              <w:rFonts w:ascii="Times New Roman" w:hAnsi="Times New Roman"/>
                              <w:b/>
                            </w:rPr>
                            <w:t xml:space="preserve"> </w:t>
                          </w:r>
                          <w:r w:rsidRPr="00FD64B2">
                            <w:rPr>
                              <w:rFonts w:ascii="Times New Roman" w:hAnsi="Times New Roman"/>
                              <w:b/>
                            </w:rPr>
                            <w:t>Development, and Implementation of a</w:t>
                          </w:r>
                          <w:r>
                            <w:rPr>
                              <w:rFonts w:ascii="Times New Roman" w:hAnsi="Times New Roman"/>
                              <w:b/>
                            </w:rPr>
                            <w:t>n Offender Management System (OMS) Service Level Agreements (SLA)</w:t>
                          </w:r>
                          <w:r w:rsidR="00134495">
                            <w:rPr>
                              <w:rFonts w:ascii="Times New Roman" w:hAnsi="Times New Roman"/>
                              <w:b/>
                            </w:rPr>
                            <w:t xml:space="preserve"> - Attachment O</w:t>
                          </w:r>
                        </w:p>
                        <w:p w14:paraId="7FEAB68E" w14:textId="77777777" w:rsidR="00DB377B" w:rsidRDefault="00DB377B" w:rsidP="00DB377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v:shapetype id="_x0000_t202" coordsize="21600,21600" o:spt="202" path="m,l,21600r21600,l21600,xe" w14:anchorId="16D9963B">
              <v:stroke joinstyle="miter"/>
              <v:path gradientshapeok="t" o:connecttype="rect"/>
            </v:shapetype>
            <v:shape id="Text Box 2" style="position:absolute;margin-left:152.25pt;margin-top:13.5pt;width:423pt;height:5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">
              <v:textbox>
                <w:txbxContent>
                  <w:p w:rsidRPr="00D236C2" w:rsidR="00134495" w:rsidP="00134495" w:rsidRDefault="00DB377B" w14:paraId="14E0AF45" w14:textId="18233D93">
                    <w:pPr>
                      <w:rPr>
                        <w:rFonts w:ascii="Times New Roman" w:hAnsi="Times New Roman"/>
                        <w:sz w:val="20"/>
                      </w:rPr>
                    </w:pPr>
                    <w:r w:rsidRPr="00FD64B2">
                      <w:rPr>
                        <w:rFonts w:ascii="Times New Roman" w:hAnsi="Times New Roman"/>
                        <w:b/>
                      </w:rPr>
                      <w:t>RFP</w:t>
                    </w:r>
                    <w:r w:rsidR="00B6364B">
                      <w:rPr>
                        <w:rFonts w:ascii="Times New Roman" w:hAnsi="Times New Roman"/>
                        <w:b/>
                      </w:rPr>
                      <w:t xml:space="preserve"> #0000000748</w:t>
                    </w:r>
                    <w:r w:rsidRPr="006E5FBF">
                      <w:rPr>
                        <w:rFonts w:ascii="Times New Roman" w:hAnsi="Times New Roman"/>
                        <w:b/>
                      </w:rPr>
                      <w:t xml:space="preserve"> –</w:t>
                    </w:r>
                    <w:r>
                      <w:rPr>
                        <w:rFonts w:ascii="Times New Roman" w:hAnsi="Times New Roman"/>
                        <w:b/>
                      </w:rPr>
                      <w:t xml:space="preserve"> </w:t>
                    </w:r>
                    <w:r w:rsidRPr="00FD64B2">
                      <w:rPr>
                        <w:rFonts w:ascii="Times New Roman" w:hAnsi="Times New Roman"/>
                        <w:b/>
                      </w:rPr>
                      <w:t>Development, and Implementation of a</w:t>
                    </w:r>
                    <w:r>
                      <w:rPr>
                        <w:rFonts w:ascii="Times New Roman" w:hAnsi="Times New Roman"/>
                        <w:b/>
                      </w:rPr>
                      <w:t>n Offender Management System (OMS) Service Level Agreements (SLA)</w:t>
                    </w:r>
                    <w:r w:rsidR="00134495">
                      <w:rPr>
                        <w:rFonts w:ascii="Times New Roman" w:hAnsi="Times New Roman"/>
                        <w:b/>
                      </w:rPr>
                      <w:t xml:space="preserve"> - Attachment O</w:t>
                    </w:r>
                  </w:p>
                  <w:p w:rsidR="00DB377B" w:rsidP="00DB377B" w:rsidRDefault="00DB377B" w14:paraId="7FEAB68E" w14:textId="77777777"/>
                </w:txbxContent>
              </v:textbox>
              <w10:wrap type="square"/>
            </v:shape>
          </w:pict>
        </mc:Fallback>
      </mc:AlternateContent>
    </w:r>
    <w:r w:rsidRPr="00D236C2">
      <w:rPr>
        <w:rFonts w:ascii="Times New Roman" w:hAnsi="Times New Roman"/>
        <w:noProof/>
        <w:sz w:val="20"/>
      </w:rPr>
      <w:drawing>
        <wp:inline distT="0" distB="0" distL="0" distR="0" wp14:anchorId="1F04ECA5" wp14:editId="1AF73CE7">
          <wp:extent cx="914400" cy="914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14274"/>
    <w:multiLevelType w:val="multilevel"/>
    <w:tmpl w:val="AFF4991E"/>
    <w:lvl w:ilvl="0">
      <w:start w:val="2"/>
      <w:numFmt w:val="decimal"/>
      <w:lvlText w:val="%1"/>
      <w:lvlJc w:val="left"/>
      <w:pPr>
        <w:ind w:left="405" w:hanging="405"/>
      </w:pPr>
      <w:rPr>
        <w:rFonts w:ascii="Arial Narrow" w:hAnsi="Arial Narrow" w:cs="Arial" w:hint="default"/>
        <w:sz w:val="22"/>
      </w:rPr>
    </w:lvl>
    <w:lvl w:ilvl="1">
      <w:start w:val="4"/>
      <w:numFmt w:val="decimal"/>
      <w:lvlText w:val="%1.%2"/>
      <w:lvlJc w:val="left"/>
      <w:pPr>
        <w:ind w:left="720" w:hanging="720"/>
      </w:pPr>
      <w:rPr>
        <w:rFonts w:ascii="Arial Narrow" w:hAnsi="Arial Narrow" w:cs="Arial" w:hint="default"/>
        <w:sz w:val="22"/>
      </w:rPr>
    </w:lvl>
    <w:lvl w:ilvl="2">
      <w:start w:val="1"/>
      <w:numFmt w:val="decimal"/>
      <w:lvlText w:val="%1.%2.%3"/>
      <w:lvlJc w:val="left"/>
      <w:pPr>
        <w:ind w:left="720" w:hanging="720"/>
      </w:pPr>
      <w:rPr>
        <w:rFonts w:ascii="Arial Narrow" w:hAnsi="Arial Narrow" w:cs="Arial" w:hint="default"/>
        <w:sz w:val="22"/>
      </w:rPr>
    </w:lvl>
    <w:lvl w:ilvl="3">
      <w:start w:val="1"/>
      <w:numFmt w:val="upperLetter"/>
      <w:lvlText w:val="%4."/>
      <w:lvlJc w:val="left"/>
      <w:pPr>
        <w:ind w:left="1080" w:hanging="1080"/>
      </w:pPr>
      <w:rPr>
        <w:rFonts w:ascii="Times New Roman" w:eastAsia="Times New Roman" w:hAnsi="Times New Roman" w:cs="Times New Roman" w:hint="default"/>
        <w:sz w:val="24"/>
        <w:szCs w:val="24"/>
      </w:rPr>
    </w:lvl>
    <w:lvl w:ilvl="4">
      <w:start w:val="1"/>
      <w:numFmt w:val="decimal"/>
      <w:lvlText w:val="%1.%2.%3.%4.%5"/>
      <w:lvlJc w:val="left"/>
      <w:pPr>
        <w:ind w:left="1440" w:hanging="1440"/>
      </w:pPr>
      <w:rPr>
        <w:rFonts w:ascii="Arial Narrow" w:hAnsi="Arial Narrow" w:cs="Arial" w:hint="default"/>
        <w:sz w:val="22"/>
      </w:rPr>
    </w:lvl>
    <w:lvl w:ilvl="5">
      <w:start w:val="1"/>
      <w:numFmt w:val="decimal"/>
      <w:lvlText w:val="%1.%2.%3.%4.%5.%6"/>
      <w:lvlJc w:val="left"/>
      <w:pPr>
        <w:ind w:left="1440" w:hanging="1440"/>
      </w:pPr>
      <w:rPr>
        <w:rFonts w:ascii="Arial Narrow" w:hAnsi="Arial Narrow" w:cs="Arial" w:hint="default"/>
        <w:sz w:val="22"/>
      </w:rPr>
    </w:lvl>
    <w:lvl w:ilvl="6">
      <w:start w:val="1"/>
      <w:numFmt w:val="decimal"/>
      <w:lvlText w:val="%1.%2.%3.%4.%5.%6.%7"/>
      <w:lvlJc w:val="left"/>
      <w:pPr>
        <w:ind w:left="1800" w:hanging="1800"/>
      </w:pPr>
      <w:rPr>
        <w:rFonts w:ascii="Arial Narrow" w:hAnsi="Arial Narrow" w:cs="Arial" w:hint="default"/>
        <w:sz w:val="22"/>
      </w:rPr>
    </w:lvl>
    <w:lvl w:ilvl="7">
      <w:start w:val="1"/>
      <w:numFmt w:val="decimal"/>
      <w:lvlText w:val="%1.%2.%3.%4.%5.%6.%7.%8"/>
      <w:lvlJc w:val="left"/>
      <w:pPr>
        <w:ind w:left="2160" w:hanging="2160"/>
      </w:pPr>
      <w:rPr>
        <w:rFonts w:ascii="Arial Narrow" w:hAnsi="Arial Narrow" w:cs="Arial" w:hint="default"/>
        <w:sz w:val="22"/>
      </w:rPr>
    </w:lvl>
    <w:lvl w:ilvl="8">
      <w:start w:val="1"/>
      <w:numFmt w:val="decimal"/>
      <w:lvlText w:val="%1.%2.%3.%4.%5.%6.%7.%8.%9"/>
      <w:lvlJc w:val="left"/>
      <w:pPr>
        <w:ind w:left="2160" w:hanging="2160"/>
      </w:pPr>
      <w:rPr>
        <w:rFonts w:ascii="Arial Narrow" w:hAnsi="Arial Narrow" w:cs="Arial" w:hint="default"/>
        <w:sz w:val="22"/>
      </w:rPr>
    </w:lvl>
  </w:abstractNum>
  <w:abstractNum w:abstractNumId="1" w15:restartNumberingAfterBreak="0">
    <w:nsid w:val="0EE6506E"/>
    <w:multiLevelType w:val="multilevel"/>
    <w:tmpl w:val="C73E0DE2"/>
    <w:lvl w:ilvl="0">
      <w:start w:val="2"/>
      <w:numFmt w:val="decimal"/>
      <w:lvlText w:val="%1"/>
      <w:lvlJc w:val="left"/>
      <w:pPr>
        <w:ind w:left="555" w:hanging="555"/>
      </w:pPr>
      <w:rPr>
        <w:rFonts w:cs="Arial" w:hint="default"/>
      </w:rPr>
    </w:lvl>
    <w:lvl w:ilvl="1">
      <w:start w:val="4"/>
      <w:numFmt w:val="decimal"/>
      <w:lvlText w:val="%1.%2"/>
      <w:lvlJc w:val="left"/>
      <w:pPr>
        <w:ind w:left="795" w:hanging="555"/>
      </w:pPr>
      <w:rPr>
        <w:rFonts w:cs="Arial" w:hint="default"/>
      </w:rPr>
    </w:lvl>
    <w:lvl w:ilvl="2">
      <w:start w:val="1"/>
      <w:numFmt w:val="decimal"/>
      <w:lvlText w:val="%1.%2.%3"/>
      <w:lvlJc w:val="left"/>
      <w:pPr>
        <w:ind w:left="1200" w:hanging="720"/>
      </w:pPr>
      <w:rPr>
        <w:rFonts w:cs="Arial" w:hint="default"/>
      </w:rPr>
    </w:lvl>
    <w:lvl w:ilvl="3">
      <w:start w:val="1"/>
      <w:numFmt w:val="upperLetter"/>
      <w:lvlText w:val="%4."/>
      <w:lvlJc w:val="left"/>
      <w:pPr>
        <w:ind w:left="2340" w:hanging="720"/>
      </w:pPr>
      <w:rPr>
        <w:rFonts w:hint="default"/>
        <w:b w:val="0"/>
      </w:rPr>
    </w:lvl>
    <w:lvl w:ilvl="4">
      <w:start w:val="1"/>
      <w:numFmt w:val="decimal"/>
      <w:lvlText w:val="%1.%2.%3.%4.%5"/>
      <w:lvlJc w:val="left"/>
      <w:pPr>
        <w:ind w:left="1680" w:hanging="720"/>
      </w:pPr>
      <w:rPr>
        <w:rFonts w:cs="Arial" w:hint="default"/>
      </w:rPr>
    </w:lvl>
    <w:lvl w:ilvl="5">
      <w:start w:val="1"/>
      <w:numFmt w:val="decimal"/>
      <w:lvlText w:val="%1.%2.%3.%4.%5.%6"/>
      <w:lvlJc w:val="left"/>
      <w:pPr>
        <w:ind w:left="2280" w:hanging="1080"/>
      </w:pPr>
      <w:rPr>
        <w:rFonts w:cs="Arial" w:hint="default"/>
      </w:rPr>
    </w:lvl>
    <w:lvl w:ilvl="6">
      <w:start w:val="1"/>
      <w:numFmt w:val="decimal"/>
      <w:lvlText w:val="%1.%2.%3.%4.%5.%6.%7"/>
      <w:lvlJc w:val="left"/>
      <w:pPr>
        <w:ind w:left="2520" w:hanging="1080"/>
      </w:pPr>
      <w:rPr>
        <w:rFonts w:cs="Arial" w:hint="default"/>
      </w:rPr>
    </w:lvl>
    <w:lvl w:ilvl="7">
      <w:start w:val="1"/>
      <w:numFmt w:val="decimal"/>
      <w:lvlText w:val="%1.%2.%3.%4.%5.%6.%7.%8"/>
      <w:lvlJc w:val="left"/>
      <w:pPr>
        <w:ind w:left="3120" w:hanging="1440"/>
      </w:pPr>
      <w:rPr>
        <w:rFonts w:cs="Arial" w:hint="default"/>
      </w:rPr>
    </w:lvl>
    <w:lvl w:ilvl="8">
      <w:start w:val="1"/>
      <w:numFmt w:val="decimal"/>
      <w:lvlText w:val="%1.%2.%3.%4.%5.%6.%7.%8.%9"/>
      <w:lvlJc w:val="left"/>
      <w:pPr>
        <w:ind w:left="3360" w:hanging="1440"/>
      </w:pPr>
      <w:rPr>
        <w:rFonts w:cs="Arial" w:hint="default"/>
      </w:rPr>
    </w:lvl>
  </w:abstractNum>
  <w:abstractNum w:abstractNumId="2" w15:restartNumberingAfterBreak="0">
    <w:nsid w:val="1D0215D0"/>
    <w:multiLevelType w:val="hybridMultilevel"/>
    <w:tmpl w:val="01D0E9DE"/>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2D46982"/>
    <w:multiLevelType w:val="hybridMultilevel"/>
    <w:tmpl w:val="F9A850F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5">
      <w:start w:val="1"/>
      <w:numFmt w:val="upp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5B787D"/>
    <w:multiLevelType w:val="multilevel"/>
    <w:tmpl w:val="5718B604"/>
    <w:lvl w:ilvl="0">
      <w:start w:val="2"/>
      <w:numFmt w:val="decimal"/>
      <w:lvlText w:val="%1"/>
      <w:lvlJc w:val="left"/>
      <w:pPr>
        <w:ind w:left="555" w:hanging="555"/>
      </w:pPr>
      <w:rPr>
        <w:rFonts w:cs="Arial" w:hint="default"/>
      </w:rPr>
    </w:lvl>
    <w:lvl w:ilvl="1">
      <w:start w:val="4"/>
      <w:numFmt w:val="decimal"/>
      <w:lvlText w:val="%1.%2"/>
      <w:lvlJc w:val="left"/>
      <w:pPr>
        <w:ind w:left="795" w:hanging="555"/>
      </w:pPr>
      <w:rPr>
        <w:rFonts w:cs="Arial" w:hint="default"/>
      </w:rPr>
    </w:lvl>
    <w:lvl w:ilvl="2">
      <w:start w:val="1"/>
      <w:numFmt w:val="decimal"/>
      <w:lvlText w:val="%1.%2.%3"/>
      <w:lvlJc w:val="left"/>
      <w:pPr>
        <w:ind w:left="1200" w:hanging="720"/>
      </w:pPr>
      <w:rPr>
        <w:rFonts w:cs="Arial" w:hint="default"/>
      </w:rPr>
    </w:lvl>
    <w:lvl w:ilvl="3">
      <w:start w:val="1"/>
      <w:numFmt w:val="upperLetter"/>
      <w:lvlText w:val="%4."/>
      <w:lvlJc w:val="left"/>
      <w:pPr>
        <w:ind w:left="2340" w:hanging="720"/>
      </w:pPr>
      <w:rPr>
        <w:rFonts w:hint="default"/>
        <w:b w:val="0"/>
      </w:rPr>
    </w:lvl>
    <w:lvl w:ilvl="4">
      <w:start w:val="1"/>
      <w:numFmt w:val="decimal"/>
      <w:lvlText w:val="%1.%2.%3.%4.%5"/>
      <w:lvlJc w:val="left"/>
      <w:pPr>
        <w:ind w:left="1680" w:hanging="720"/>
      </w:pPr>
      <w:rPr>
        <w:rFonts w:cs="Arial" w:hint="default"/>
      </w:rPr>
    </w:lvl>
    <w:lvl w:ilvl="5">
      <w:start w:val="1"/>
      <w:numFmt w:val="decimal"/>
      <w:lvlText w:val="%1.%2.%3.%4.%5.%6"/>
      <w:lvlJc w:val="left"/>
      <w:pPr>
        <w:ind w:left="2280" w:hanging="1080"/>
      </w:pPr>
      <w:rPr>
        <w:rFonts w:cs="Arial" w:hint="default"/>
      </w:rPr>
    </w:lvl>
    <w:lvl w:ilvl="6">
      <w:start w:val="1"/>
      <w:numFmt w:val="decimal"/>
      <w:lvlText w:val="%1.%2.%3.%4.%5.%6.%7"/>
      <w:lvlJc w:val="left"/>
      <w:pPr>
        <w:ind w:left="2520" w:hanging="1080"/>
      </w:pPr>
      <w:rPr>
        <w:rFonts w:cs="Arial" w:hint="default"/>
      </w:rPr>
    </w:lvl>
    <w:lvl w:ilvl="7">
      <w:start w:val="1"/>
      <w:numFmt w:val="decimal"/>
      <w:lvlText w:val="%1.%2.%3.%4.%5.%6.%7.%8"/>
      <w:lvlJc w:val="left"/>
      <w:pPr>
        <w:ind w:left="3120" w:hanging="1440"/>
      </w:pPr>
      <w:rPr>
        <w:rFonts w:cs="Arial" w:hint="default"/>
      </w:rPr>
    </w:lvl>
    <w:lvl w:ilvl="8">
      <w:start w:val="1"/>
      <w:numFmt w:val="decimal"/>
      <w:lvlText w:val="%1.%2.%3.%4.%5.%6.%7.%8.%9"/>
      <w:lvlJc w:val="left"/>
      <w:pPr>
        <w:ind w:left="3360" w:hanging="1440"/>
      </w:pPr>
      <w:rPr>
        <w:rFonts w:cs="Arial" w:hint="default"/>
      </w:rPr>
    </w:lvl>
  </w:abstractNum>
  <w:abstractNum w:abstractNumId="5" w15:restartNumberingAfterBreak="0">
    <w:nsid w:val="4D0C0CCA"/>
    <w:multiLevelType w:val="hybridMultilevel"/>
    <w:tmpl w:val="A26221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5">
      <w:start w:val="1"/>
      <w:numFmt w:val="upp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F661EB"/>
    <w:multiLevelType w:val="multilevel"/>
    <w:tmpl w:val="32C8905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E406017"/>
    <w:multiLevelType w:val="multilevel"/>
    <w:tmpl w:val="577A5468"/>
    <w:lvl w:ilvl="0">
      <w:start w:val="2"/>
      <w:numFmt w:val="decimal"/>
      <w:lvlText w:val="%1"/>
      <w:lvlJc w:val="left"/>
      <w:pPr>
        <w:ind w:left="555" w:hanging="555"/>
      </w:pPr>
      <w:rPr>
        <w:rFonts w:cs="Arial" w:hint="default"/>
      </w:rPr>
    </w:lvl>
    <w:lvl w:ilvl="1">
      <w:start w:val="4"/>
      <w:numFmt w:val="decimal"/>
      <w:lvlText w:val="%1.%2"/>
      <w:lvlJc w:val="left"/>
      <w:pPr>
        <w:ind w:left="795" w:hanging="555"/>
      </w:pPr>
      <w:rPr>
        <w:rFonts w:cs="Arial" w:hint="default"/>
      </w:rPr>
    </w:lvl>
    <w:lvl w:ilvl="2">
      <w:start w:val="1"/>
      <w:numFmt w:val="decimal"/>
      <w:lvlText w:val="%1.%2.%3"/>
      <w:lvlJc w:val="left"/>
      <w:pPr>
        <w:ind w:left="1200" w:hanging="720"/>
      </w:pPr>
      <w:rPr>
        <w:rFonts w:cs="Arial" w:hint="default"/>
      </w:rPr>
    </w:lvl>
    <w:lvl w:ilvl="3">
      <w:start w:val="1"/>
      <w:numFmt w:val="upperLetter"/>
      <w:lvlText w:val="%4."/>
      <w:lvlJc w:val="left"/>
      <w:pPr>
        <w:ind w:left="2340" w:hanging="720"/>
      </w:pPr>
      <w:rPr>
        <w:rFonts w:hint="default"/>
        <w:b w:val="0"/>
      </w:rPr>
    </w:lvl>
    <w:lvl w:ilvl="4">
      <w:start w:val="1"/>
      <w:numFmt w:val="decimal"/>
      <w:lvlText w:val="%1.%2.%3.%4.%5"/>
      <w:lvlJc w:val="left"/>
      <w:pPr>
        <w:ind w:left="1680" w:hanging="720"/>
      </w:pPr>
      <w:rPr>
        <w:rFonts w:cs="Arial" w:hint="default"/>
      </w:rPr>
    </w:lvl>
    <w:lvl w:ilvl="5">
      <w:start w:val="1"/>
      <w:numFmt w:val="decimal"/>
      <w:lvlText w:val="%1.%2.%3.%4.%5.%6"/>
      <w:lvlJc w:val="left"/>
      <w:pPr>
        <w:ind w:left="2280" w:hanging="1080"/>
      </w:pPr>
      <w:rPr>
        <w:rFonts w:cs="Arial" w:hint="default"/>
      </w:rPr>
    </w:lvl>
    <w:lvl w:ilvl="6">
      <w:start w:val="1"/>
      <w:numFmt w:val="decimal"/>
      <w:lvlText w:val="%1.%2.%3.%4.%5.%6.%7"/>
      <w:lvlJc w:val="left"/>
      <w:pPr>
        <w:ind w:left="2520" w:hanging="1080"/>
      </w:pPr>
      <w:rPr>
        <w:rFonts w:cs="Arial" w:hint="default"/>
      </w:rPr>
    </w:lvl>
    <w:lvl w:ilvl="7">
      <w:start w:val="1"/>
      <w:numFmt w:val="decimal"/>
      <w:lvlText w:val="%1.%2.%3.%4.%5.%6.%7.%8"/>
      <w:lvlJc w:val="left"/>
      <w:pPr>
        <w:ind w:left="3120" w:hanging="1440"/>
      </w:pPr>
      <w:rPr>
        <w:rFonts w:cs="Arial" w:hint="default"/>
      </w:rPr>
    </w:lvl>
    <w:lvl w:ilvl="8">
      <w:start w:val="1"/>
      <w:numFmt w:val="decimal"/>
      <w:lvlText w:val="%1.%2.%3.%4.%5.%6.%7.%8.%9"/>
      <w:lvlJc w:val="left"/>
      <w:pPr>
        <w:ind w:left="3360" w:hanging="1440"/>
      </w:pPr>
      <w:rPr>
        <w:rFonts w:cs="Arial" w:hint="default"/>
      </w:rPr>
    </w:lvl>
  </w:abstractNum>
  <w:abstractNum w:abstractNumId="8" w15:restartNumberingAfterBreak="0">
    <w:nsid w:val="73706659"/>
    <w:multiLevelType w:val="multilevel"/>
    <w:tmpl w:val="0409001F"/>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0F0E18"/>
    <w:multiLevelType w:val="hybridMultilevel"/>
    <w:tmpl w:val="C6CC1F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AC316B"/>
    <w:multiLevelType w:val="hybridMultilevel"/>
    <w:tmpl w:val="2422ABE4"/>
    <w:lvl w:ilvl="0" w:tplc="04090015">
      <w:start w:val="1"/>
      <w:numFmt w:val="upp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15">
      <w:start w:val="1"/>
      <w:numFmt w:val="upperLetter"/>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7D96279C"/>
    <w:multiLevelType w:val="multilevel"/>
    <w:tmpl w:val="D88CF4B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11"/>
  </w:num>
  <w:num w:numId="3">
    <w:abstractNumId w:val="6"/>
  </w:num>
  <w:num w:numId="4">
    <w:abstractNumId w:val="9"/>
  </w:num>
  <w:num w:numId="5">
    <w:abstractNumId w:val="0"/>
  </w:num>
  <w:num w:numId="6">
    <w:abstractNumId w:val="3"/>
  </w:num>
  <w:num w:numId="7">
    <w:abstractNumId w:val="10"/>
  </w:num>
  <w:num w:numId="8">
    <w:abstractNumId w:val="2"/>
  </w:num>
  <w:num w:numId="9">
    <w:abstractNumId w:val="5"/>
  </w:num>
  <w:num w:numId="10">
    <w:abstractNumId w:val="1"/>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C6F"/>
    <w:rsid w:val="000529DD"/>
    <w:rsid w:val="000608B5"/>
    <w:rsid w:val="00064340"/>
    <w:rsid w:val="000A6964"/>
    <w:rsid w:val="000C2FA3"/>
    <w:rsid w:val="000C3214"/>
    <w:rsid w:val="000D221E"/>
    <w:rsid w:val="000D5B4F"/>
    <w:rsid w:val="000E399E"/>
    <w:rsid w:val="000F6905"/>
    <w:rsid w:val="00134495"/>
    <w:rsid w:val="001841BB"/>
    <w:rsid w:val="001C1125"/>
    <w:rsid w:val="001F7BA9"/>
    <w:rsid w:val="0024122C"/>
    <w:rsid w:val="00266B78"/>
    <w:rsid w:val="002B3844"/>
    <w:rsid w:val="002B5FA8"/>
    <w:rsid w:val="002F5317"/>
    <w:rsid w:val="00313FE2"/>
    <w:rsid w:val="003267CD"/>
    <w:rsid w:val="00387C6F"/>
    <w:rsid w:val="003A6CC7"/>
    <w:rsid w:val="00400782"/>
    <w:rsid w:val="00400B4C"/>
    <w:rsid w:val="0043150E"/>
    <w:rsid w:val="00437E3B"/>
    <w:rsid w:val="00441431"/>
    <w:rsid w:val="00453EA8"/>
    <w:rsid w:val="004C07B6"/>
    <w:rsid w:val="00501F54"/>
    <w:rsid w:val="00504C84"/>
    <w:rsid w:val="00536FA0"/>
    <w:rsid w:val="0054350A"/>
    <w:rsid w:val="00564759"/>
    <w:rsid w:val="005E744A"/>
    <w:rsid w:val="005F3619"/>
    <w:rsid w:val="00614C2F"/>
    <w:rsid w:val="0068685C"/>
    <w:rsid w:val="0069478B"/>
    <w:rsid w:val="007113D6"/>
    <w:rsid w:val="007502E2"/>
    <w:rsid w:val="007A3839"/>
    <w:rsid w:val="00836ACF"/>
    <w:rsid w:val="00851F28"/>
    <w:rsid w:val="008A230E"/>
    <w:rsid w:val="008A4C96"/>
    <w:rsid w:val="008F3A23"/>
    <w:rsid w:val="00903091"/>
    <w:rsid w:val="009609C1"/>
    <w:rsid w:val="00975717"/>
    <w:rsid w:val="009808E4"/>
    <w:rsid w:val="00996AB1"/>
    <w:rsid w:val="009A45C8"/>
    <w:rsid w:val="009B3E6B"/>
    <w:rsid w:val="009D1EB1"/>
    <w:rsid w:val="009D69DF"/>
    <w:rsid w:val="009D6EA6"/>
    <w:rsid w:val="009F7B5A"/>
    <w:rsid w:val="00A47A5F"/>
    <w:rsid w:val="00A575F5"/>
    <w:rsid w:val="00A7301F"/>
    <w:rsid w:val="00A7430C"/>
    <w:rsid w:val="00A85BC6"/>
    <w:rsid w:val="00A866CF"/>
    <w:rsid w:val="00A96084"/>
    <w:rsid w:val="00AD5874"/>
    <w:rsid w:val="00B50875"/>
    <w:rsid w:val="00B6364B"/>
    <w:rsid w:val="00B8449F"/>
    <w:rsid w:val="00BA2640"/>
    <w:rsid w:val="00BB4BC4"/>
    <w:rsid w:val="00BD0A01"/>
    <w:rsid w:val="00BD5A39"/>
    <w:rsid w:val="00BF5CBE"/>
    <w:rsid w:val="00C16F1C"/>
    <w:rsid w:val="00C256BE"/>
    <w:rsid w:val="00C52E7E"/>
    <w:rsid w:val="00CC51F2"/>
    <w:rsid w:val="00CC58FB"/>
    <w:rsid w:val="00CC5F3A"/>
    <w:rsid w:val="00CD1C02"/>
    <w:rsid w:val="00CE704C"/>
    <w:rsid w:val="00CF561E"/>
    <w:rsid w:val="00D31AC1"/>
    <w:rsid w:val="00D47CDE"/>
    <w:rsid w:val="00D631B4"/>
    <w:rsid w:val="00D63CBC"/>
    <w:rsid w:val="00D7095F"/>
    <w:rsid w:val="00DA1DCE"/>
    <w:rsid w:val="00DB377B"/>
    <w:rsid w:val="00DF52EA"/>
    <w:rsid w:val="00E264AF"/>
    <w:rsid w:val="00E2F270"/>
    <w:rsid w:val="00E50415"/>
    <w:rsid w:val="00E6672C"/>
    <w:rsid w:val="00E826DF"/>
    <w:rsid w:val="00E90CB1"/>
    <w:rsid w:val="00F0767A"/>
    <w:rsid w:val="00F436A3"/>
    <w:rsid w:val="00FA2DA7"/>
    <w:rsid w:val="00FB6FC7"/>
    <w:rsid w:val="00FC40DE"/>
    <w:rsid w:val="00FE3BD4"/>
    <w:rsid w:val="08FF5A19"/>
    <w:rsid w:val="2214BA97"/>
    <w:rsid w:val="2E53046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A5C7C78"/>
  <w15:chartTrackingRefBased/>
  <w15:docId w15:val="{067F0BAA-FE7A-4065-BBCA-37FA9F3AB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7C6F"/>
    <w:pPr>
      <w:widowControl w:val="0"/>
    </w:pPr>
    <w:rPr>
      <w:rFonts w:ascii="Courier" w:hAnsi="Courier"/>
      <w:snapToGrid w:val="0"/>
      <w:sz w:val="24"/>
      <w:lang w:eastAsia="en-US"/>
    </w:rPr>
  </w:style>
  <w:style w:type="paragraph" w:styleId="Heading1">
    <w:name w:val="heading 1"/>
    <w:basedOn w:val="Normal"/>
    <w:next w:val="Normal"/>
    <w:link w:val="Heading1Char"/>
    <w:uiPriority w:val="9"/>
    <w:qFormat/>
    <w:rsid w:val="00CF561E"/>
    <w:pPr>
      <w:keepNext/>
      <w:widowControl/>
      <w:spacing w:before="240" w:after="60"/>
      <w:outlineLvl w:val="0"/>
    </w:pPr>
    <w:rPr>
      <w:rFonts w:ascii="Cambria" w:hAnsi="Cambria"/>
      <w:b/>
      <w:bCs/>
      <w:snapToGri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87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561E"/>
    <w:rPr>
      <w:rFonts w:ascii="Cambria" w:hAnsi="Cambria"/>
      <w:b/>
      <w:bCs/>
      <w:kern w:val="32"/>
      <w:sz w:val="32"/>
      <w:szCs w:val="32"/>
    </w:rPr>
  </w:style>
  <w:style w:type="character" w:styleId="CommentReference">
    <w:name w:val="annotation reference"/>
    <w:basedOn w:val="DefaultParagraphFont"/>
    <w:uiPriority w:val="99"/>
    <w:semiHidden/>
    <w:unhideWhenUsed/>
    <w:rsid w:val="001841BB"/>
    <w:rPr>
      <w:sz w:val="16"/>
      <w:szCs w:val="16"/>
    </w:rPr>
  </w:style>
  <w:style w:type="paragraph" w:styleId="CommentText">
    <w:name w:val="annotation text"/>
    <w:basedOn w:val="Normal"/>
    <w:link w:val="CommentTextChar"/>
    <w:uiPriority w:val="99"/>
    <w:semiHidden/>
    <w:unhideWhenUsed/>
    <w:rsid w:val="001841BB"/>
    <w:rPr>
      <w:sz w:val="20"/>
    </w:rPr>
  </w:style>
  <w:style w:type="character" w:customStyle="1" w:styleId="CommentTextChar">
    <w:name w:val="Comment Text Char"/>
    <w:basedOn w:val="DefaultParagraphFont"/>
    <w:link w:val="CommentText"/>
    <w:uiPriority w:val="99"/>
    <w:semiHidden/>
    <w:rsid w:val="001841BB"/>
    <w:rPr>
      <w:rFonts w:ascii="Courier" w:hAnsi="Courier"/>
      <w:snapToGrid w:val="0"/>
    </w:rPr>
  </w:style>
  <w:style w:type="paragraph" w:styleId="ListParagraph">
    <w:name w:val="List Paragraph"/>
    <w:basedOn w:val="Normal"/>
    <w:uiPriority w:val="34"/>
    <w:qFormat/>
    <w:rsid w:val="001841BB"/>
    <w:pPr>
      <w:widowControl/>
      <w:ind w:left="720"/>
      <w:contextualSpacing/>
    </w:pPr>
    <w:rPr>
      <w:rFonts w:ascii="Arial Narrow" w:eastAsia="Calibri" w:hAnsi="Arial Narrow"/>
      <w:snapToGrid/>
      <w:sz w:val="22"/>
      <w:szCs w:val="22"/>
    </w:rPr>
  </w:style>
  <w:style w:type="paragraph" w:styleId="BalloonText">
    <w:name w:val="Balloon Text"/>
    <w:basedOn w:val="Normal"/>
    <w:link w:val="BalloonTextChar"/>
    <w:uiPriority w:val="99"/>
    <w:semiHidden/>
    <w:unhideWhenUsed/>
    <w:rsid w:val="001841BB"/>
    <w:rPr>
      <w:rFonts w:ascii="Tahoma" w:hAnsi="Tahoma" w:cs="Tahoma"/>
      <w:sz w:val="16"/>
      <w:szCs w:val="16"/>
    </w:rPr>
  </w:style>
  <w:style w:type="character" w:customStyle="1" w:styleId="BalloonTextChar">
    <w:name w:val="Balloon Text Char"/>
    <w:basedOn w:val="DefaultParagraphFont"/>
    <w:link w:val="BalloonText"/>
    <w:uiPriority w:val="99"/>
    <w:semiHidden/>
    <w:rsid w:val="001841BB"/>
    <w:rPr>
      <w:rFonts w:ascii="Tahoma" w:hAnsi="Tahoma" w:cs="Tahoma"/>
      <w:snapToGrid w:val="0"/>
      <w:sz w:val="16"/>
      <w:szCs w:val="16"/>
    </w:rPr>
  </w:style>
  <w:style w:type="paragraph" w:styleId="Header">
    <w:name w:val="header"/>
    <w:basedOn w:val="Normal"/>
    <w:link w:val="HeaderChar"/>
    <w:uiPriority w:val="99"/>
    <w:unhideWhenUsed/>
    <w:rsid w:val="0068685C"/>
    <w:pPr>
      <w:tabs>
        <w:tab w:val="center" w:pos="4680"/>
        <w:tab w:val="right" w:pos="9360"/>
      </w:tabs>
    </w:pPr>
  </w:style>
  <w:style w:type="character" w:customStyle="1" w:styleId="HeaderChar">
    <w:name w:val="Header Char"/>
    <w:basedOn w:val="DefaultParagraphFont"/>
    <w:link w:val="Header"/>
    <w:uiPriority w:val="99"/>
    <w:rsid w:val="0068685C"/>
    <w:rPr>
      <w:rFonts w:ascii="Courier" w:hAnsi="Courier"/>
      <w:snapToGrid w:val="0"/>
      <w:sz w:val="24"/>
    </w:rPr>
  </w:style>
  <w:style w:type="paragraph" w:styleId="Footer">
    <w:name w:val="footer"/>
    <w:basedOn w:val="Normal"/>
    <w:link w:val="FooterChar"/>
    <w:uiPriority w:val="99"/>
    <w:unhideWhenUsed/>
    <w:rsid w:val="0068685C"/>
    <w:pPr>
      <w:tabs>
        <w:tab w:val="center" w:pos="4680"/>
        <w:tab w:val="right" w:pos="9360"/>
      </w:tabs>
    </w:pPr>
  </w:style>
  <w:style w:type="character" w:customStyle="1" w:styleId="FooterChar">
    <w:name w:val="Footer Char"/>
    <w:basedOn w:val="DefaultParagraphFont"/>
    <w:link w:val="Footer"/>
    <w:uiPriority w:val="99"/>
    <w:rsid w:val="0068685C"/>
    <w:rPr>
      <w:rFonts w:ascii="Courier" w:hAnsi="Courier"/>
      <w:snapToGrid w:val="0"/>
      <w:sz w:val="24"/>
    </w:rPr>
  </w:style>
  <w:style w:type="paragraph" w:styleId="CommentSubject">
    <w:name w:val="annotation subject"/>
    <w:basedOn w:val="CommentText"/>
    <w:next w:val="CommentText"/>
    <w:link w:val="CommentSubjectChar"/>
    <w:uiPriority w:val="99"/>
    <w:semiHidden/>
    <w:unhideWhenUsed/>
    <w:rsid w:val="00400B4C"/>
    <w:rPr>
      <w:b/>
      <w:bCs/>
    </w:rPr>
  </w:style>
  <w:style w:type="character" w:customStyle="1" w:styleId="CommentSubjectChar">
    <w:name w:val="Comment Subject Char"/>
    <w:basedOn w:val="CommentTextChar"/>
    <w:link w:val="CommentSubject"/>
    <w:uiPriority w:val="99"/>
    <w:semiHidden/>
    <w:rsid w:val="00400B4C"/>
    <w:rPr>
      <w:rFonts w:ascii="Courier" w:hAnsi="Courier"/>
      <w:b/>
      <w:bCs/>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B74E2C7DE30546BF7FE019E21290F2" ma:contentTypeVersion="13" ma:contentTypeDescription="Create a new document." ma:contentTypeScope="" ma:versionID="09d9d10038282e9214ade30a4f2e70c5">
  <xsd:schema xmlns:xsd="http://www.w3.org/2001/XMLSchema" xmlns:xs="http://www.w3.org/2001/XMLSchema" xmlns:p="http://schemas.microsoft.com/office/2006/metadata/properties" xmlns:ns1="http://schemas.microsoft.com/sharepoint/v3" xmlns:ns2="72451722-d3ce-48b8-a1f6-36344de827fd" xmlns:ns3="a6adb4fe-1393-4a1f-be2a-ab404cacc071" targetNamespace="http://schemas.microsoft.com/office/2006/metadata/properties" ma:root="true" ma:fieldsID="c28afcb9a8ecb230ec8fc3b3cd6dc314" ns1:_="" ns2:_="" ns3:_="">
    <xsd:import namespace="http://schemas.microsoft.com/sharepoint/v3"/>
    <xsd:import namespace="72451722-d3ce-48b8-a1f6-36344de827fd"/>
    <xsd:import namespace="a6adb4fe-1393-4a1f-be2a-ab404cacc0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451722-d3ce-48b8-a1f6-36344de827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adb4fe-1393-4a1f-be2a-ab404cacc07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BDA01C-3DE2-4FF4-A463-EBD6C1ECBF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2451722-d3ce-48b8-a1f6-36344de827fd"/>
    <ds:schemaRef ds:uri="a6adb4fe-1393-4a1f-be2a-ab404cacc0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625E53-6964-4048-A403-7D25A00D09A5}">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764126DD-4318-4877-9686-333AC11FD7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662</Words>
  <Characters>3775</Characters>
  <Application>Microsoft Office Word</Application>
  <DocSecurity>4</DocSecurity>
  <Lines>31</Lines>
  <Paragraphs>8</Paragraphs>
  <ScaleCrop>false</ScaleCrop>
  <Company>State of Indiana</Company>
  <LinksUpToDate>false</LinksUpToDate>
  <CharactersWithSpaces>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Robertson</dc:creator>
  <cp:keywords/>
  <cp:lastModifiedBy>Joe Miles</cp:lastModifiedBy>
  <cp:revision>20</cp:revision>
  <dcterms:created xsi:type="dcterms:W3CDTF">2020-01-29T19:23:00Z</dcterms:created>
  <dcterms:modified xsi:type="dcterms:W3CDTF">2020-05-07T21:09:00Z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0x0101009FB74E2C7DE30546BF7FE019E21290F2</vt:lpwstr>
  </property>
  <property fmtid="{D5CDD505-2E9C-101B-9397-08002B2CF9AE}" pid="3" name="Order">
    <vt:r8>10500</vt:r8>
  </property>
  <property fmtid="{D5CDD505-2E9C-101B-9397-08002B2CF9AE}" pid="4" name="ComplianceAssetId">
    <vt:lpwstr/>
  </property>
</Properties>
</file>